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pPr>
        <w:snapToGrid w:val="0"/>
        <w:spacing w:line="360" w:lineRule="auto"/>
        <w:jc w:val="center"/>
        <w:rPr>
          <w:rFonts w:ascii="黑体" w:hAnsi="宋体" w:eastAsia="黑体"/>
          <w:sz w:val="40"/>
          <w:szCs w:val="40"/>
        </w:rPr>
      </w:pPr>
      <w:bookmarkStart w:id="0" w:name="_Hlk136363220"/>
    </w:p>
    <w:p>
      <w:pPr>
        <w:snapToGrid w:val="0"/>
        <w:spacing w:line="360" w:lineRule="auto"/>
        <w:jc w:val="center"/>
        <w:rPr>
          <w:rFonts w:ascii="黑体" w:hAnsi="宋体" w:eastAsia="黑体"/>
          <w:sz w:val="40"/>
          <w:szCs w:val="40"/>
        </w:rPr>
      </w:pPr>
    </w:p>
    <w:p>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sdt>
            <w:sdtPr>
              <w:rPr>
                <w:rFonts w:hint="eastAsia" w:ascii="黑体" w:hAnsi="宋体" w:eastAsia="黑体"/>
                <w:sz w:val="40"/>
                <w:szCs w:val="40"/>
              </w:rPr>
              <w:id w:val="-378703083"/>
              <w:placeholder>
                <w:docPart w:val="{992d13d0-3f52-4a8e-b2af-ecfb8aefd9e4}"/>
              </w:placeholder>
            </w:sdtPr>
            <w:sdtEndPr>
              <w:rPr>
                <w:rFonts w:hint="eastAsia" w:ascii="黑体" w:hAnsi="宋体" w:eastAsia="黑体"/>
                <w:sz w:val="40"/>
                <w:szCs w:val="40"/>
              </w:rPr>
            </w:sdtEndPr>
            <w:sdtContent>
              <w:r>
                <w:rPr>
                  <w:rFonts w:hint="eastAsia" w:ascii="黑体" w:hAnsi="宋体" w:eastAsia="黑体"/>
                  <w:sz w:val="40"/>
                  <w:szCs w:val="40"/>
                </w:rPr>
                <w:t>两院区空调冷源系统安装冷量计项目</w:t>
              </w:r>
            </w:sdtContent>
          </w:sdt>
        </w:sdtContent>
      </w:sdt>
    </w:p>
    <w:p>
      <w:pPr>
        <w:snapToGrid w:val="0"/>
        <w:spacing w:line="480" w:lineRule="auto"/>
        <w:rPr>
          <w:b/>
          <w:sz w:val="24"/>
        </w:rPr>
      </w:pPr>
    </w:p>
    <w:bookmarkEnd w:id="0"/>
    <w:p>
      <w:pPr>
        <w:snapToGrid w:val="0"/>
        <w:spacing w:line="480" w:lineRule="auto"/>
        <w:rPr>
          <w:b/>
          <w:sz w:val="24"/>
        </w:rPr>
      </w:pPr>
    </w:p>
    <w:p>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pPr>
        <w:snapToGrid w:val="0"/>
        <w:spacing w:line="360" w:lineRule="auto"/>
        <w:jc w:val="center"/>
        <w:rPr>
          <w:sz w:val="28"/>
          <w:szCs w:val="28"/>
        </w:rPr>
      </w:pPr>
    </w:p>
    <w:p>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pPr>
        <w:pStyle w:val="23"/>
      </w:pPr>
      <w:r>
        <w:rPr>
          <w:rFonts w:hint="eastAsia"/>
        </w:rPr>
        <w:t>一、项目概况</w:t>
      </w:r>
    </w:p>
    <w:p>
      <w:pPr>
        <w:pStyle w:val="27"/>
      </w:pPr>
      <w:r>
        <w:t xml:space="preserve">第1条  </w:t>
      </w:r>
      <w:r>
        <w:rPr>
          <w:rFonts w:hint="eastAsia"/>
        </w:rPr>
        <w:t>工程</w:t>
      </w:r>
      <w:r>
        <w:t>概况</w:t>
      </w:r>
    </w:p>
    <w:p>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sdt>
            <w:sdtPr>
              <w:rPr>
                <w:rStyle w:val="20"/>
                <w:rFonts w:hint="eastAsia"/>
              </w:rPr>
              <w:id w:val="-378703083"/>
              <w:placeholder>
                <w:docPart w:val="{c9b0a814-887b-4fd5-9319-f69613f16566}"/>
              </w:placeholder>
            </w:sdtPr>
            <w:sdtEndPr>
              <w:rPr>
                <w:rStyle w:val="20"/>
                <w:rFonts w:hint="eastAsia"/>
              </w:rPr>
            </w:sdtEndPr>
            <w:sdtContent>
              <w:r>
                <w:rPr>
                  <w:rStyle w:val="20"/>
                  <w:rFonts w:hint="eastAsia"/>
                </w:rPr>
                <w:t>两院区空调冷源系统安装冷量计项目</w:t>
              </w:r>
            </w:sdtContent>
          </w:sdt>
        </w:sdtContent>
      </w:sdt>
      <w:bookmarkEnd w:id="1"/>
    </w:p>
    <w:p>
      <w:pPr>
        <w:snapToGrid w:val="0"/>
        <w:spacing w:line="360" w:lineRule="auto"/>
        <w:rPr>
          <w:sz w:val="24"/>
        </w:rPr>
      </w:pPr>
      <w:r>
        <w:rPr>
          <w:rFonts w:hint="eastAsia" w:hAnsi="宋体"/>
          <w:sz w:val="24"/>
        </w:rPr>
        <w:t>1.2  工程</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Fonts w:hint="eastAsia" w:hAnsi="宋体"/>
              <w:sz w:val="24"/>
              <w:lang w:val="en-US" w:eastAsia="zh-CN"/>
            </w:rPr>
            <w:t>越秀院区的旧手术室、新手术室、介入手术室和放疗中心M层的空调冷源系统以及黄埔院区的手术室、分子诊断科。</w:t>
          </w:r>
        </w:sdtContent>
      </w:sdt>
    </w:p>
    <w:p>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sz w:val="24"/>
            </w:rPr>
            <w:t xml:space="preserve"> </w:t>
          </w:r>
          <w:r>
            <w:rPr>
              <w:rFonts w:hint="eastAsia" w:hAnsi="宋体"/>
              <w:sz w:val="24"/>
              <w:lang w:val="en-US" w:eastAsia="zh-CN"/>
            </w:rPr>
            <w:t>空调系统是医院能耗大户，为有针对性地制定节能运行策略及工程改造方案，衡量节能效果，我们计划对越秀院区的旧手术室、新手术室、介入手术室和放疗中心M层的空调冷源系统以及黄埔院区的手术室、分子诊断科空调冷源系统安装相应的超声波冷量计和电量计量装置，同时配套相应的能效计量软件/模块，计量系统自动读取所安装冷量计及电表数据，数据保存十年或以上，软件模块响应速度＜2s，具体详见工程量报价清单。</w:t>
          </w:r>
        </w:sdtContent>
      </w:sdt>
    </w:p>
    <w:p>
      <w:pPr>
        <w:pStyle w:val="26"/>
      </w:pPr>
      <w:r>
        <w:rPr>
          <w:rFonts w:hint="eastAsia"/>
        </w:rPr>
        <w:t>第2条  承包范围与方式</w:t>
      </w:r>
    </w:p>
    <w:p>
      <w:pPr>
        <w:snapToGrid w:val="0"/>
        <w:spacing w:line="360" w:lineRule="auto"/>
        <w:rPr>
          <w:rFonts w:hAnsi="宋体"/>
          <w:sz w:val="24"/>
        </w:rPr>
      </w:pPr>
      <w:r>
        <w:rPr>
          <w:rFonts w:hint="eastAsia" w:hAnsi="宋体"/>
          <w:sz w:val="24"/>
        </w:rPr>
        <w:t xml:space="preserve">2.1  </w:t>
      </w:r>
      <w:r>
        <w:rPr>
          <w:rFonts w:hAnsi="宋体"/>
          <w:sz w:val="24"/>
        </w:rPr>
        <w:t>承包范围：</w:t>
      </w:r>
    </w:p>
    <w:p>
      <w:pPr>
        <w:snapToGrid w:val="0"/>
        <w:spacing w:line="360" w:lineRule="auto"/>
        <w:rPr>
          <w:rFonts w:hint="eastAsia"/>
          <w:u w:val="single"/>
        </w:rPr>
      </w:pPr>
      <w:sdt>
        <w:sdtPr>
          <w:rPr>
            <w:rFonts w:hAnsi="宋体"/>
            <w:sz w:val="24"/>
          </w:rPr>
          <w:id w:val="216557005"/>
          <w:placeholder>
            <w:docPart w:val="CF16CC9F556F439F90EBAAD787289934"/>
          </w:placeholder>
        </w:sdtPr>
        <w:sdtEndPr>
          <w:rPr>
            <w:rFonts w:hAnsi="宋体"/>
            <w:sz w:val="24"/>
          </w:rPr>
        </w:sdtEndPr>
        <w:sdtContent>
          <w:sdt>
            <w:sdtPr>
              <w:rPr>
                <w:rFonts w:hint="eastAsia" w:hAnsi="宋体"/>
                <w:sz w:val="24"/>
              </w:rPr>
              <w:id w:val="-715198555"/>
              <w:placeholder>
                <w:docPart w:val="{0b4a7c9c-ca40-4dfc-bea2-ba1d39bd4951}"/>
              </w:placeholder>
            </w:sdtPr>
            <w:sdtEndPr>
              <w:rPr>
                <w:rFonts w:hint="eastAsia" w:hAnsi="宋体"/>
                <w:sz w:val="24"/>
              </w:rPr>
            </w:sdtEndPr>
            <w:sdtContent>
              <w:r>
                <w:rPr>
                  <w:rFonts w:hint="eastAsia" w:hAnsi="宋体"/>
                  <w:sz w:val="24"/>
                  <w:lang w:val="en-US" w:eastAsia="zh-CN"/>
                </w:rPr>
                <w:t>含空调冷源系统冷量计、三相电表、互感器及线路安装，开发相应的能效计量软件/模块，计量系统自动读取所安装冷量计及电表数据，实现能效实时计量及累积量计量</w:t>
              </w:r>
              <w:r>
                <w:rPr>
                  <w:rFonts w:hint="eastAsia" w:hAnsi="宋体"/>
                  <w:sz w:val="24"/>
                </w:rPr>
                <w:t>。</w:t>
              </w:r>
            </w:sdtContent>
          </w:sdt>
        </w:sdtContent>
      </w:sdt>
    </w:p>
    <w:p>
      <w:pPr>
        <w:snapToGrid w:val="0"/>
        <w:spacing w:line="360" w:lineRule="auto"/>
        <w:rPr>
          <w:rFonts w:hAnsi="宋体"/>
          <w:sz w:val="24"/>
        </w:rPr>
      </w:pPr>
    </w:p>
    <w:p>
      <w:pPr>
        <w:snapToGrid w:val="0"/>
        <w:spacing w:line="360" w:lineRule="auto"/>
        <w:rPr>
          <w:sz w:val="24"/>
        </w:rPr>
      </w:pPr>
      <w:r>
        <w:rPr>
          <w:rFonts w:hint="eastAsia" w:hAnsi="宋体"/>
          <w:sz w:val="24"/>
        </w:rPr>
        <w:t xml:space="preserve">2.2  </w:t>
      </w:r>
      <w:r>
        <w:rPr>
          <w:rFonts w:hint="eastAsia"/>
          <w:sz w:val="24"/>
        </w:rPr>
        <w:t>本项目约定的承包方式为：</w:t>
      </w:r>
      <w:r>
        <w:rPr>
          <w:rFonts w:hint="eastAsia"/>
          <w:b/>
          <w:bCs/>
          <w:sz w:val="24"/>
          <w:lang w:val="en-US" w:eastAsia="zh-CN"/>
        </w:rPr>
        <w:t>总价</w:t>
      </w:r>
      <w:sdt>
        <w:sdtPr>
          <w:rPr>
            <w:rFonts w:hint="default"/>
            <w:sz w:val="24"/>
            <w:lang w:val="en-US"/>
          </w:rPr>
          <w:id w:val="-110371923"/>
          <w:placeholder>
            <w:docPart w:val="54E46C69BA974695907A0ECAF28A50EC"/>
          </w:placeholder>
        </w:sdtPr>
        <w:sdtEndPr>
          <w:rPr>
            <w:rFonts w:hint="eastAsia"/>
            <w:sz w:val="24"/>
            <w:lang w:val="en-US"/>
          </w:rPr>
        </w:sdtEndPr>
        <w:sdtContent>
          <w:r>
            <w:rPr>
              <w:rFonts w:hint="eastAsia"/>
              <w:sz w:val="24"/>
              <w:lang w:val="en-US" w:eastAsia="zh-CN"/>
            </w:rPr>
            <w:t>包干。</w:t>
          </w:r>
        </w:sdtContent>
      </w:sdt>
    </w:p>
    <w:p>
      <w:pPr>
        <w:pStyle w:val="23"/>
      </w:pPr>
      <w:r>
        <w:t>二、双方权利与义务</w:t>
      </w:r>
    </w:p>
    <w:p>
      <w:pPr>
        <w:pStyle w:val="27"/>
      </w:pPr>
      <w:r>
        <w:t>第3条  双方项目负责人</w:t>
      </w:r>
    </w:p>
    <w:p>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dtPr>
        <w:sdtEndPr>
          <w:rPr>
            <w:rStyle w:val="13"/>
            <w:rFonts w:hint="eastAsia" w:ascii="Times New Roman" w:hAnsi="Times New Roman" w:cs="Times New Roman"/>
            <w:sz w:val="21"/>
            <w:u w:val="none"/>
          </w:rPr>
        </w:sdtEndPr>
        <w:sdtContent>
          <w:r>
            <w:rPr>
              <w:rStyle w:val="20"/>
              <w:rFonts w:hint="eastAsia"/>
            </w:rPr>
            <w:t>陈志杰</w:t>
          </w:r>
        </w:sdtContent>
      </w:sdt>
      <w:r>
        <w:rPr>
          <w:rFonts w:hAnsi="宋体"/>
          <w:sz w:val="24"/>
        </w:rPr>
        <w:t>。甲方的指令经甲方项目负责人签署后生效。</w:t>
      </w:r>
    </w:p>
    <w:p>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经验，有较高组织和协调能力。</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pPr>
        <w:pStyle w:val="26"/>
      </w:pPr>
      <w:r>
        <w:t>第4条  甲方工作</w:t>
      </w:r>
    </w:p>
    <w:p>
      <w:pPr>
        <w:spacing w:line="360" w:lineRule="auto"/>
        <w:ind w:left="523" w:hanging="523" w:hangingChars="218"/>
        <w:rPr>
          <w:sz w:val="24"/>
        </w:rPr>
      </w:pPr>
      <w:r>
        <w:rPr>
          <w:sz w:val="24"/>
        </w:rPr>
        <w:t>4</w:t>
      </w:r>
      <w:r>
        <w:rPr>
          <w:rFonts w:hint="eastAsia"/>
          <w:sz w:val="24"/>
        </w:rPr>
        <w:t>.1  甲方应按本合同约定的时间和要求，完成以下工作：</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pPr>
        <w:numPr>
          <w:ilvl w:val="0"/>
          <w:numId w:val="2"/>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pPr>
        <w:pStyle w:val="26"/>
      </w:pPr>
      <w:r>
        <w:t>第5条  乙方工作</w:t>
      </w:r>
    </w:p>
    <w:p>
      <w:pPr>
        <w:spacing w:line="360" w:lineRule="auto"/>
        <w:ind w:left="523" w:hanging="523" w:hangingChars="218"/>
        <w:rPr>
          <w:sz w:val="24"/>
        </w:rPr>
      </w:pPr>
      <w:r>
        <w:rPr>
          <w:sz w:val="24"/>
        </w:rPr>
        <w:t>5</w:t>
      </w:r>
      <w:r>
        <w:rPr>
          <w:rFonts w:hint="eastAsia"/>
          <w:sz w:val="24"/>
        </w:rPr>
        <w:t>.1  乙方应按合同约定的时间和内容，完成以下工作：</w:t>
      </w:r>
    </w:p>
    <w:p>
      <w:pPr>
        <w:numPr>
          <w:ilvl w:val="0"/>
          <w:numId w:val="3"/>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pPr>
        <w:numPr>
          <w:ilvl w:val="0"/>
          <w:numId w:val="3"/>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pPr>
        <w:numPr>
          <w:ilvl w:val="0"/>
          <w:numId w:val="3"/>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pPr>
        <w:numPr>
          <w:ilvl w:val="0"/>
          <w:numId w:val="3"/>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numPr>
          <w:ilvl w:val="0"/>
          <w:numId w:val="3"/>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pPr>
        <w:numPr>
          <w:ilvl w:val="0"/>
          <w:numId w:val="3"/>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pPr>
        <w:numPr>
          <w:ilvl w:val="0"/>
          <w:numId w:val="3"/>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pPr>
        <w:numPr>
          <w:ilvl w:val="0"/>
          <w:numId w:val="3"/>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p>
      <w:pPr>
        <w:spacing w:line="360" w:lineRule="auto"/>
        <w:ind w:left="523" w:hanging="523" w:hangingChars="218"/>
        <w:rPr>
          <w:kern w:val="0"/>
          <w:sz w:val="24"/>
        </w:rPr>
      </w:pPr>
      <w:r>
        <w:rPr>
          <w:sz w:val="24"/>
        </w:rPr>
        <w:t>5</w:t>
      </w:r>
      <w:r>
        <w:rPr>
          <w:rFonts w:hint="eastAsia"/>
          <w:sz w:val="24"/>
        </w:rPr>
        <w:t xml:space="preserve">.2  </w:t>
      </w:r>
      <w:r>
        <w:rPr>
          <w:rFonts w:hint="eastAsia"/>
          <w:kern w:val="0"/>
          <w:sz w:val="24"/>
        </w:rPr>
        <w:t>乙方未能履行合同工程承包内容或前款各项义务，造成甲方损失的，全部损失由乙方承担，甲方有权在支付款项中扣除或在履约保证金中扣除。</w:t>
      </w:r>
    </w:p>
    <w:p>
      <w:pPr>
        <w:spacing w:line="360" w:lineRule="auto"/>
        <w:ind w:left="523" w:hanging="523" w:hangingChars="218"/>
        <w:rPr>
          <w:sz w:val="24"/>
        </w:rPr>
      </w:pPr>
      <w:r>
        <w:rPr>
          <w:sz w:val="24"/>
        </w:rPr>
        <w:t xml:space="preserve">5.3  </w:t>
      </w:r>
      <w:r>
        <w:rPr>
          <w:rFonts w:hint="eastAsia"/>
          <w:sz w:val="24"/>
        </w:rPr>
        <w:t>甲方在发函至乙方十个日历天后，乙方未确认或无理由拖延履约工作的，甲方有权安排其他单位完成工程内容，该部分工程费用及违约金（违约金按该工程费用的20%计算）应由乙方向甲方缴纳，甲方有权在应向乙方支付的款项中扣除或在履约保证金中扣除。</w:t>
      </w:r>
    </w:p>
    <w:p>
      <w:pPr>
        <w:pStyle w:val="23"/>
      </w:pPr>
      <w:r>
        <w:t>三、工期管理</w:t>
      </w:r>
    </w:p>
    <w:p>
      <w:pPr>
        <w:pStyle w:val="27"/>
      </w:pPr>
      <w:r>
        <w:t>第6条  工期与关键节点工期</w:t>
      </w:r>
    </w:p>
    <w:p>
      <w:pPr>
        <w:spacing w:line="360" w:lineRule="auto"/>
        <w:ind w:left="523" w:hanging="523" w:hangingChars="218"/>
        <w:rPr>
          <w:sz w:val="24"/>
        </w:rPr>
      </w:pPr>
      <w:r>
        <w:rPr>
          <w:rFonts w:hAnsi="宋体"/>
          <w:sz w:val="24"/>
        </w:rPr>
        <w:t>6</w:t>
      </w:r>
      <w:r>
        <w:rPr>
          <w:rFonts w:hint="eastAsia" w:hAnsi="宋体"/>
          <w:sz w:val="24"/>
        </w:rPr>
        <w:t xml:space="preserve">.1  </w:t>
      </w:r>
      <w:r>
        <w:rPr>
          <w:rFonts w:hAnsi="宋体"/>
          <w:sz w:val="24"/>
        </w:rPr>
        <w:t>双方约定，本</w:t>
      </w:r>
      <w:r>
        <w:rPr>
          <w:rFonts w:hint="eastAsia" w:hAnsi="宋体"/>
          <w:sz w:val="24"/>
        </w:rPr>
        <w:t>工程</w:t>
      </w:r>
      <w:r>
        <w:rPr>
          <w:rFonts w:hAnsi="宋体"/>
          <w:sz w:val="24"/>
        </w:rPr>
        <w:t>的总</w:t>
      </w:r>
      <w:r>
        <w:rPr>
          <w:rFonts w:hint="eastAsia" w:hAnsi="宋体"/>
          <w:sz w:val="24"/>
        </w:rPr>
        <w:t>工期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sz w:val="24"/>
            <w:u w:val="single"/>
          </w:rPr>
        </w:sdtEndPr>
        <w:sdtContent>
          <w:r>
            <w:rPr>
              <w:rFonts w:hint="eastAsia" w:hAnsi="宋体"/>
              <w:color w:val="FF0000"/>
              <w:sz w:val="24"/>
              <w:u w:val="single"/>
              <w:lang w:val="en-US" w:eastAsia="zh-CN"/>
            </w:rPr>
            <w:t>30</w:t>
          </w:r>
        </w:sdtContent>
      </w:sdt>
      <w:r>
        <w:rPr>
          <w:rStyle w:val="20"/>
          <w:rFonts w:hint="eastAsia"/>
        </w:rPr>
        <w:t>个日历</w:t>
      </w:r>
      <w:r>
        <w:rPr>
          <w:rFonts w:hAnsi="宋体"/>
          <w:sz w:val="24"/>
        </w:rPr>
        <w:t>天，</w:t>
      </w:r>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开工令约定日期</w:t>
          </w:r>
        </w:sdtContent>
      </w:sdt>
      <w:r>
        <w:rPr>
          <w:rFonts w:hAnsi="宋体"/>
          <w:sz w:val="24"/>
        </w:rPr>
        <w:t>，</w:t>
      </w:r>
      <w:r>
        <w:rPr>
          <w:rFonts w:hint="eastAsia" w:hAnsi="宋体"/>
          <w:sz w:val="24"/>
        </w:rPr>
        <w:t>结束时间为</w:t>
      </w:r>
      <w:sdt>
        <w:sdtPr>
          <w:rPr>
            <w:rFonts w:hint="eastAsia" w:hAnsi="宋体"/>
            <w:sz w:val="24"/>
          </w:rPr>
          <w:id w:val="-350955704"/>
          <w:placeholder>
            <w:docPart w:val="624C0F7D0D984AA3A98AE5B95AF6DFEB"/>
          </w:placeholder>
          <w:date>
            <w:dateFormat w:val="yyyy'年'M'月'd'日'"/>
            <w:lid w:val="zh-CN"/>
            <w:storeMappedDataAs w:val="datetime"/>
            <w:calendar w:val="gregorian"/>
          </w:date>
        </w:sdtPr>
        <w:sdtEndPr>
          <w:rPr>
            <w:rFonts w:hint="eastAsia" w:hAnsi="宋体"/>
            <w:sz w:val="24"/>
          </w:rPr>
        </w:sdtEndPr>
        <w:sdtContent>
          <w:r>
            <w:rPr>
              <w:rFonts w:hint="eastAsia" w:hAnsi="宋体"/>
              <w:sz w:val="24"/>
            </w:rPr>
            <w:t>验收合格之日</w:t>
          </w:r>
        </w:sdtContent>
      </w:sdt>
      <w:r>
        <w:rPr>
          <w:rFonts w:hAnsi="宋体"/>
          <w:sz w:val="24"/>
        </w:rPr>
        <w:t>。</w:t>
      </w:r>
    </w:p>
    <w:p>
      <w:pPr>
        <w:spacing w:line="360" w:lineRule="auto"/>
        <w:ind w:left="523" w:hanging="523" w:hangingChars="218"/>
        <w:rPr>
          <w:kern w:val="0"/>
          <w:sz w:val="24"/>
        </w:rPr>
      </w:pPr>
      <w:r>
        <w:rPr>
          <w:rFonts w:hAnsi="宋体"/>
          <w:sz w:val="24"/>
        </w:rPr>
        <w:t>6</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pPr>
        <w:spacing w:line="360" w:lineRule="auto"/>
        <w:ind w:left="523" w:hanging="523" w:hangingChars="218"/>
        <w:rPr>
          <w:rFonts w:hAnsi="宋体"/>
          <w:sz w:val="24"/>
        </w:rPr>
      </w:pPr>
      <w:r>
        <w:rPr>
          <w:kern w:val="0"/>
          <w:sz w:val="24"/>
        </w:rPr>
        <w:t xml:space="preserve">6.3  </w:t>
      </w:r>
      <w:r>
        <w:rPr>
          <w:rFonts w:hint="eastAsia" w:hAnsi="宋体"/>
          <w:sz w:val="24"/>
        </w:rPr>
        <w:t>发包人要求比合同约定的工期提前竣工时，应征得承包人同意，不增加费用。</w:t>
      </w:r>
    </w:p>
    <w:p>
      <w:pPr>
        <w:pStyle w:val="26"/>
      </w:pPr>
      <w:r>
        <w:t xml:space="preserve">第7条  </w:t>
      </w:r>
      <w:r>
        <w:rPr>
          <w:rFonts w:hint="eastAsia"/>
        </w:rPr>
        <w:t>项目</w:t>
      </w:r>
      <w:r>
        <w:t>组织与进度计划</w:t>
      </w:r>
    </w:p>
    <w:p>
      <w:pPr>
        <w:spacing w:line="360" w:lineRule="auto"/>
        <w:ind w:left="523" w:hanging="523" w:hangingChars="218"/>
        <w:rPr>
          <w:sz w:val="24"/>
        </w:rPr>
      </w:pPr>
      <w:r>
        <w:rPr>
          <w:rFonts w:hAnsi="宋体"/>
          <w:bCs/>
          <w:sz w:val="24"/>
        </w:rPr>
        <w:t>7</w:t>
      </w:r>
      <w:r>
        <w:rPr>
          <w:rFonts w:hint="eastAsia" w:hAnsi="宋体"/>
          <w:bCs/>
          <w:sz w:val="24"/>
        </w:rPr>
        <w:t xml:space="preserve">.1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rPr>
            <w:t>合同签订后5天内</w:t>
          </w:r>
        </w:sdtContent>
      </w:sdt>
      <w:r>
        <w:rPr>
          <w:rFonts w:hAnsi="宋体"/>
          <w:bCs/>
          <w:sz w:val="24"/>
        </w:rPr>
        <w:t>提供</w:t>
      </w:r>
      <w:r>
        <w:rPr>
          <w:rFonts w:hint="eastAsia" w:hAnsi="宋体"/>
          <w:bCs/>
          <w:sz w:val="24"/>
        </w:rPr>
        <w:t>项目</w:t>
      </w:r>
      <w:r>
        <w:rPr>
          <w:rFonts w:hAnsi="宋体"/>
          <w:bCs/>
          <w:sz w:val="24"/>
        </w:rPr>
        <w:t>组织设计、进度计划安排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，并接受甲方和项目监理单位</w:t>
      </w:r>
      <w:r>
        <w:rPr>
          <w:rFonts w:hint="eastAsia" w:hAnsi="宋体"/>
          <w:kern w:val="0"/>
          <w:sz w:val="24"/>
        </w:rPr>
        <w:t>（如有）</w:t>
      </w:r>
      <w:r>
        <w:rPr>
          <w:rFonts w:hAnsi="宋体"/>
          <w:kern w:val="0"/>
          <w:sz w:val="24"/>
        </w:rPr>
        <w:t>的检查监督。</w:t>
      </w:r>
    </w:p>
    <w:p>
      <w:pPr>
        <w:snapToGrid w:val="0"/>
        <w:spacing w:line="360" w:lineRule="auto"/>
        <w:ind w:left="523" w:hanging="523" w:hangingChars="218"/>
        <w:rPr>
          <w:bCs/>
          <w:sz w:val="24"/>
        </w:rPr>
      </w:pPr>
      <w:r>
        <w:rPr>
          <w:rFonts w:hAnsi="宋体"/>
          <w:bCs/>
          <w:sz w:val="24"/>
        </w:rPr>
        <w:t>7</w:t>
      </w:r>
      <w:r>
        <w:rPr>
          <w:rFonts w:hint="eastAsia" w:hAnsi="宋体"/>
          <w:bCs/>
          <w:sz w:val="24"/>
        </w:rPr>
        <w:t xml:space="preserve">.2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项目组织设计、进度计划安排（如需）等进行</w:t>
      </w:r>
      <w:r>
        <w:rPr>
          <w:rFonts w:hAnsi="宋体"/>
          <w:bCs/>
          <w:sz w:val="24"/>
        </w:rPr>
        <w:t>确认或提出修改意见。</w:t>
      </w:r>
    </w:p>
    <w:p>
      <w:pPr>
        <w:pStyle w:val="26"/>
      </w:pPr>
      <w:r>
        <w:t>第8条  工期延误</w:t>
      </w:r>
    </w:p>
    <w:p>
      <w:pPr>
        <w:snapToGrid w:val="0"/>
        <w:spacing w:line="360" w:lineRule="auto"/>
        <w:ind w:left="523" w:hanging="523" w:hangingChars="218"/>
        <w:rPr>
          <w:bCs/>
          <w:sz w:val="24"/>
        </w:rPr>
      </w:pPr>
      <w:r>
        <w:rPr>
          <w:bCs/>
          <w:sz w:val="24"/>
        </w:rPr>
        <w:t xml:space="preserve">8.1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pPr>
        <w:numPr>
          <w:ilvl w:val="0"/>
          <w:numId w:val="4"/>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pPr>
        <w:numPr>
          <w:ilvl w:val="0"/>
          <w:numId w:val="4"/>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pPr>
        <w:numPr>
          <w:ilvl w:val="0"/>
          <w:numId w:val="4"/>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pPr>
        <w:numPr>
          <w:ilvl w:val="0"/>
          <w:numId w:val="4"/>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pPr>
        <w:numPr>
          <w:ilvl w:val="0"/>
          <w:numId w:val="4"/>
        </w:numPr>
        <w:tabs>
          <w:tab w:val="left" w:pos="1260"/>
          <w:tab w:val="clear" w:pos="930"/>
        </w:tabs>
        <w:snapToGrid w:val="0"/>
        <w:spacing w:line="360" w:lineRule="auto"/>
        <w:ind w:left="1260" w:hanging="735"/>
        <w:rPr>
          <w:sz w:val="24"/>
        </w:rPr>
      </w:pPr>
      <w:r>
        <w:rPr>
          <w:sz w:val="24"/>
        </w:rPr>
        <w:t>现场无法提供乙方可操作的施工工作面；</w:t>
      </w:r>
    </w:p>
    <w:p>
      <w:pPr>
        <w:numPr>
          <w:ilvl w:val="0"/>
          <w:numId w:val="4"/>
        </w:numPr>
        <w:tabs>
          <w:tab w:val="left" w:pos="1260"/>
          <w:tab w:val="clear" w:pos="930"/>
        </w:tabs>
        <w:snapToGrid w:val="0"/>
        <w:spacing w:line="360" w:lineRule="auto"/>
        <w:ind w:left="1260" w:hanging="735"/>
        <w:rPr>
          <w:sz w:val="24"/>
        </w:rPr>
      </w:pPr>
      <w:r>
        <w:rPr>
          <w:sz w:val="24"/>
        </w:rPr>
        <w:t>不可抗力及自然灾害；</w:t>
      </w:r>
    </w:p>
    <w:p>
      <w:pPr>
        <w:numPr>
          <w:ilvl w:val="0"/>
          <w:numId w:val="4"/>
        </w:numPr>
        <w:tabs>
          <w:tab w:val="left" w:pos="1260"/>
          <w:tab w:val="clear" w:pos="930"/>
        </w:tabs>
        <w:snapToGrid w:val="0"/>
        <w:spacing w:line="360" w:lineRule="auto"/>
        <w:ind w:left="1260" w:hanging="735"/>
        <w:rPr>
          <w:sz w:val="24"/>
        </w:rPr>
      </w:pPr>
      <w:r>
        <w:rPr>
          <w:sz w:val="24"/>
        </w:rPr>
        <w:t>甲方同意工期相应顺延的其他情况；</w:t>
      </w:r>
    </w:p>
    <w:p>
      <w:pPr>
        <w:numPr>
          <w:ilvl w:val="0"/>
          <w:numId w:val="4"/>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pPr>
        <w:snapToGrid w:val="0"/>
        <w:spacing w:line="360" w:lineRule="auto"/>
        <w:ind w:left="523" w:hanging="523" w:hangingChars="218"/>
        <w:rPr>
          <w:bCs/>
          <w:sz w:val="24"/>
        </w:rPr>
      </w:pPr>
      <w:r>
        <w:rPr>
          <w:bCs/>
          <w:sz w:val="24"/>
        </w:rPr>
        <w:t xml:space="preserve">8.2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pPr>
        <w:snapToGrid w:val="0"/>
        <w:spacing w:line="360" w:lineRule="auto"/>
        <w:ind w:left="523" w:hanging="523" w:hangingChars="218"/>
        <w:rPr>
          <w:bCs/>
          <w:sz w:val="24"/>
        </w:rPr>
      </w:pPr>
      <w:r>
        <w:rPr>
          <w:bCs/>
          <w:sz w:val="24"/>
        </w:rPr>
        <w:t>8.</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pPr>
        <w:pStyle w:val="23"/>
      </w:pPr>
      <w:r>
        <w:t>四、工程质量与保修</w:t>
      </w:r>
    </w:p>
    <w:p>
      <w:pPr>
        <w:pStyle w:val="27"/>
      </w:pPr>
      <w:r>
        <w:t>第9条  工程质量</w:t>
      </w:r>
    </w:p>
    <w:p>
      <w:pPr>
        <w:spacing w:line="360" w:lineRule="auto"/>
        <w:ind w:left="523" w:hanging="523" w:hangingChars="218"/>
        <w:rPr>
          <w:rFonts w:hAnsi="宋体"/>
          <w:kern w:val="0"/>
          <w:sz w:val="24"/>
        </w:rPr>
      </w:pPr>
      <w:r>
        <w:rPr>
          <w:rFonts w:hAnsi="宋体"/>
          <w:kern w:val="0"/>
          <w:sz w:val="24"/>
        </w:rPr>
        <w:t>9</w:t>
      </w:r>
      <w:r>
        <w:rPr>
          <w:rFonts w:hint="eastAsia" w:hAnsi="宋体"/>
          <w:kern w:val="0"/>
          <w:sz w:val="24"/>
        </w:rPr>
        <w:t>.1 本项目执行的规范为：</w:t>
      </w:r>
    </w:p>
    <w:sdt>
      <w:sdtPr>
        <w:rPr>
          <w:rFonts w:hint="eastAsia" w:hAnsi="宋体"/>
          <w:kern w:val="0"/>
          <w:sz w:val="24"/>
        </w:rPr>
        <w:id w:val="910271230"/>
        <w:placeholder>
          <w:docPart w:val="{197255da-0c55-44fb-8189-c66ca5f2e8ab}"/>
        </w:placeholder>
      </w:sdtPr>
      <w:sdtEndPr>
        <w:rPr>
          <w:rFonts w:hint="eastAsia" w:hAnsi="宋体"/>
          <w:kern w:val="0"/>
          <w:sz w:val="24"/>
        </w:rPr>
      </w:sdtEndPr>
      <w:sdtContent>
        <w:p>
          <w:pPr>
            <w:spacing w:line="360" w:lineRule="auto"/>
            <w:ind w:left="943" w:leftChars="200" w:hanging="523" w:hangingChars="218"/>
            <w:rPr>
              <w:rFonts w:hint="eastAsia" w:hAnsi="宋体"/>
              <w:kern w:val="0"/>
              <w:sz w:val="24"/>
            </w:rPr>
          </w:pPr>
          <w:r>
            <w:rPr>
              <w:rFonts w:hint="eastAsia" w:hAnsi="宋体"/>
              <w:kern w:val="0"/>
              <w:sz w:val="24"/>
            </w:rPr>
            <w:t>GB 51039-2014 综合医院建筑设计规范</w:t>
          </w:r>
        </w:p>
        <w:p>
          <w:pPr>
            <w:spacing w:line="360" w:lineRule="auto"/>
            <w:ind w:left="943" w:leftChars="200" w:hanging="523" w:hangingChars="218"/>
            <w:rPr>
              <w:rFonts w:hint="eastAsia" w:hAnsi="宋体"/>
              <w:kern w:val="0"/>
              <w:sz w:val="24"/>
            </w:rPr>
          </w:pPr>
          <w:r>
            <w:rPr>
              <w:rFonts w:hint="eastAsia" w:hAnsi="宋体"/>
              <w:kern w:val="0"/>
              <w:sz w:val="24"/>
            </w:rPr>
            <w:t>GB 20189-2015 公共建筑节能设计标准</w:t>
          </w:r>
        </w:p>
        <w:p>
          <w:pPr>
            <w:spacing w:line="360" w:lineRule="auto"/>
            <w:ind w:left="943" w:leftChars="200" w:hanging="523" w:hangingChars="218"/>
            <w:rPr>
              <w:rFonts w:hint="eastAsia" w:hAnsi="宋体"/>
              <w:kern w:val="0"/>
              <w:sz w:val="24"/>
            </w:rPr>
          </w:pPr>
          <w:r>
            <w:rPr>
              <w:rFonts w:hint="eastAsia" w:hAnsi="宋体"/>
              <w:kern w:val="0"/>
              <w:sz w:val="24"/>
            </w:rPr>
            <w:t>GB 55015-2021 建筑节能标准规范</w:t>
          </w:r>
        </w:p>
        <w:p>
          <w:pPr>
            <w:spacing w:line="360" w:lineRule="auto"/>
            <w:ind w:left="943" w:leftChars="200" w:hanging="523" w:hangingChars="218"/>
            <w:rPr>
              <w:rFonts w:hint="eastAsia" w:hAnsi="宋体"/>
              <w:kern w:val="0"/>
              <w:sz w:val="24"/>
            </w:rPr>
          </w:pPr>
          <w:r>
            <w:rPr>
              <w:rFonts w:hint="eastAsia" w:hAnsi="宋体"/>
              <w:kern w:val="0"/>
              <w:sz w:val="24"/>
            </w:rPr>
            <w:t>GB 50736-2012 民用建筑供暖通风与空气调节设计规范</w:t>
          </w:r>
        </w:p>
        <w:p>
          <w:pPr>
            <w:spacing w:line="360" w:lineRule="auto"/>
            <w:ind w:left="943" w:leftChars="200" w:hanging="523" w:hangingChars="218"/>
            <w:rPr>
              <w:rFonts w:hint="eastAsia" w:hAnsi="宋体"/>
              <w:kern w:val="0"/>
              <w:sz w:val="24"/>
            </w:rPr>
          </w:pPr>
          <w:r>
            <w:rPr>
              <w:rFonts w:hint="eastAsia" w:hAnsi="宋体"/>
              <w:kern w:val="0"/>
              <w:sz w:val="24"/>
            </w:rPr>
            <w:t xml:space="preserve">GB 50243-2016 通风与空调工程施工质量验收规范 </w:t>
          </w:r>
        </w:p>
      </w:sdtContent>
    </w:sdt>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pPr>
        <w:spacing w:line="360" w:lineRule="auto"/>
        <w:ind w:left="523" w:hanging="523" w:hangingChars="218"/>
        <w:rPr>
          <w:kern w:val="0"/>
          <w:sz w:val="24"/>
        </w:rPr>
      </w:pPr>
      <w:r>
        <w:rPr>
          <w:rFonts w:hint="eastAsia" w:hAnsi="宋体"/>
          <w:kern w:val="0"/>
          <w:sz w:val="24"/>
        </w:rPr>
        <w:t>9.</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pPr>
        <w:numPr>
          <w:ilvl w:val="0"/>
          <w:numId w:val="5"/>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pPr>
        <w:numPr>
          <w:ilvl w:val="0"/>
          <w:numId w:val="5"/>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pPr>
        <w:numPr>
          <w:ilvl w:val="0"/>
          <w:numId w:val="5"/>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pPr>
        <w:numPr>
          <w:ilvl w:val="0"/>
          <w:numId w:val="5"/>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pPr>
        <w:numPr>
          <w:ilvl w:val="0"/>
          <w:numId w:val="5"/>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pPr>
        <w:autoSpaceDE w:val="0"/>
        <w:autoSpaceDN w:val="0"/>
        <w:adjustRightInd w:val="0"/>
        <w:snapToGrid w:val="0"/>
        <w:spacing w:line="360" w:lineRule="auto"/>
        <w:ind w:left="540" w:hanging="540" w:hangingChars="225"/>
        <w:jc w:val="left"/>
        <w:rPr>
          <w:sz w:val="24"/>
        </w:rPr>
      </w:pPr>
      <w:r>
        <w:rPr>
          <w:rFonts w:hint="eastAsia" w:hAnsi="宋体"/>
          <w:kern w:val="0"/>
          <w:sz w:val="24"/>
        </w:rPr>
        <w:t>9.</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pPr>
        <w:autoSpaceDE w:val="0"/>
        <w:autoSpaceDN w:val="0"/>
        <w:adjustRightInd w:val="0"/>
        <w:snapToGrid w:val="0"/>
        <w:spacing w:line="360" w:lineRule="auto"/>
        <w:ind w:left="540" w:hanging="540" w:hangingChars="225"/>
        <w:jc w:val="left"/>
        <w:rPr>
          <w:rFonts w:hAnsi="宋体"/>
          <w:kern w:val="0"/>
          <w:sz w:val="24"/>
        </w:rPr>
      </w:pPr>
      <w:r>
        <w:rPr>
          <w:rFonts w:hint="eastAsia"/>
          <w:sz w:val="24"/>
        </w:rPr>
        <w:t>9.</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内会同设计单位</w:t>
      </w:r>
      <w:r>
        <w:rPr>
          <w:rFonts w:hint="eastAsia" w:hAnsi="宋体"/>
          <w:kern w:val="0"/>
          <w:sz w:val="24"/>
        </w:rPr>
        <w:t>（如有）</w:t>
      </w:r>
      <w:r>
        <w:rPr>
          <w:rFonts w:hAnsi="宋体"/>
          <w:kern w:val="0"/>
          <w:sz w:val="24"/>
        </w:rPr>
        <w:t>、监理单位</w:t>
      </w:r>
      <w:r>
        <w:rPr>
          <w:rFonts w:hint="eastAsia" w:hAnsi="宋体"/>
          <w:kern w:val="0"/>
          <w:sz w:val="24"/>
        </w:rPr>
        <w:t>（如有）</w:t>
      </w:r>
      <w:r>
        <w:rPr>
          <w:rFonts w:hAnsi="宋体"/>
          <w:kern w:val="0"/>
          <w:sz w:val="24"/>
        </w:rPr>
        <w:t>进行处理，并承担此类不符或缺陷的责任。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 xml:space="preserve">.8 </w:t>
      </w:r>
      <w:r>
        <w:rPr>
          <w:rFonts w:hint="eastAsia" w:hAnsi="宋体"/>
          <w:kern w:val="0"/>
          <w:sz w:val="24"/>
        </w:rPr>
        <w:t>材料管理</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pPr>
        <w:numPr>
          <w:ilvl w:val="0"/>
          <w:numId w:val="6"/>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监理人员（如有）、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pPr>
        <w:pStyle w:val="26"/>
      </w:pPr>
      <w:r>
        <w:t>第10条  质量保修</w:t>
      </w:r>
    </w:p>
    <w:p>
      <w:pPr>
        <w:spacing w:line="360" w:lineRule="auto"/>
        <w:ind w:left="523" w:hanging="523" w:hangingChars="218"/>
        <w:rPr>
          <w:rFonts w:hAnsi="宋体"/>
          <w:sz w:val="24"/>
        </w:rPr>
      </w:pPr>
      <w:r>
        <w:rPr>
          <w:rFonts w:hint="eastAsia" w:hAnsi="宋体"/>
          <w:sz w:val="24"/>
        </w:rPr>
        <w:t>10.1</w:t>
      </w:r>
      <w:r>
        <w:rPr>
          <w:rFonts w:hAnsi="宋体"/>
          <w:sz w:val="24"/>
        </w:rPr>
        <w:t>本工程的质量保修期为：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FF0000"/>
              <w:sz w:val="24"/>
              <w:u w:val="single"/>
            </w:rPr>
            <w:t>1年</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6"/>
              <w:rFonts w:hint="eastAsia"/>
              <w:color w:val="FF0000"/>
              <w:sz w:val="24"/>
              <w:u w:val="single"/>
            </w:rPr>
            <w:t>项目验收合格之日</w:t>
          </w:r>
        </w:sdtContent>
      </w:sdt>
      <w:r>
        <w:rPr>
          <w:rFonts w:hAnsi="宋体"/>
          <w:sz w:val="24"/>
        </w:rPr>
        <w:t>算起。</w:t>
      </w:r>
    </w:p>
    <w:p>
      <w:pPr>
        <w:spacing w:line="360" w:lineRule="auto"/>
        <w:ind w:left="523" w:hanging="523" w:hangingChars="218"/>
        <w:rPr>
          <w:rFonts w:hAnsi="宋体"/>
          <w:sz w:val="24"/>
        </w:rPr>
      </w:pPr>
      <w:r>
        <w:rPr>
          <w:rFonts w:hint="eastAsia" w:hAnsi="宋体"/>
          <w:sz w:val="24"/>
        </w:rPr>
        <w:t>10</w:t>
      </w:r>
      <w:r>
        <w:rPr>
          <w:rFonts w:hAnsi="宋体"/>
          <w:sz w:val="24"/>
        </w:rPr>
        <w:t xml:space="preserve">.2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pPr>
        <w:spacing w:line="360" w:lineRule="auto"/>
        <w:ind w:left="523" w:hanging="523" w:hangingChars="218"/>
        <w:rPr>
          <w:rFonts w:hAnsi="宋体"/>
          <w:sz w:val="24"/>
        </w:rPr>
      </w:pPr>
      <w:r>
        <w:rPr>
          <w:rFonts w:hint="eastAsia" w:hAnsi="宋体"/>
          <w:sz w:val="24"/>
        </w:rPr>
        <w:t>10.</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pPr>
        <w:spacing w:line="360" w:lineRule="auto"/>
        <w:ind w:left="523" w:hanging="523" w:hangingChars="218"/>
        <w:rPr>
          <w:sz w:val="24"/>
        </w:rPr>
      </w:pPr>
      <w:r>
        <w:rPr>
          <w:rFonts w:hint="eastAsia"/>
          <w:sz w:val="24"/>
        </w:rPr>
        <w:t>10.</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pPr>
        <w:spacing w:line="360" w:lineRule="auto"/>
        <w:ind w:left="523" w:hanging="523" w:hangingChars="218"/>
        <w:rPr>
          <w:sz w:val="24"/>
        </w:rPr>
      </w:pPr>
      <w:r>
        <w:rPr>
          <w:rFonts w:hint="eastAsia"/>
          <w:sz w:val="24"/>
        </w:rPr>
        <w:t>10</w:t>
      </w:r>
      <w:r>
        <w:rPr>
          <w:sz w:val="24"/>
        </w:rPr>
        <w:t xml:space="preserve">.5 </w:t>
      </w:r>
      <w:r>
        <w:rPr>
          <w:rFonts w:hint="eastAsia"/>
          <w:sz w:val="24"/>
        </w:rPr>
        <w:t>发生紧急抢修事故的，承包人在接到通知后，应立即到达事故现场抢修，在24小时内按本工程质量要求完成维修工作。</w:t>
      </w:r>
    </w:p>
    <w:p>
      <w:pPr>
        <w:spacing w:line="360" w:lineRule="auto"/>
        <w:ind w:left="523" w:hanging="523" w:hangingChars="218"/>
        <w:rPr>
          <w:sz w:val="24"/>
        </w:rPr>
      </w:pPr>
      <w:r>
        <w:rPr>
          <w:rFonts w:hint="eastAsia"/>
          <w:sz w:val="24"/>
        </w:rPr>
        <w:t>10</w:t>
      </w:r>
      <w:r>
        <w:rPr>
          <w:sz w:val="24"/>
        </w:rPr>
        <w:t xml:space="preserve">.6 </w:t>
      </w:r>
      <w:r>
        <w:rPr>
          <w:rFonts w:hint="eastAsia"/>
          <w:sz w:val="24"/>
        </w:rPr>
        <w:t>质量保修完成后，由发包人组织验收。</w:t>
      </w:r>
    </w:p>
    <w:p>
      <w:pPr>
        <w:spacing w:line="360" w:lineRule="auto"/>
        <w:ind w:left="523" w:hanging="523" w:hangingChars="218"/>
        <w:rPr>
          <w:sz w:val="24"/>
        </w:rPr>
      </w:pPr>
      <w:r>
        <w:rPr>
          <w:rFonts w:hint="eastAsia"/>
          <w:sz w:val="24"/>
        </w:rPr>
        <w:t>10</w:t>
      </w:r>
      <w:r>
        <w:rPr>
          <w:sz w:val="24"/>
        </w:rPr>
        <w:t xml:space="preserve">.7 </w:t>
      </w:r>
      <w:r>
        <w:rPr>
          <w:rFonts w:hint="eastAsia"/>
          <w:sz w:val="24"/>
        </w:rPr>
        <w:t>质量保修费用及相关的损害赔偿费，由造成质量缺陷的责任方承担。</w:t>
      </w:r>
    </w:p>
    <w:p>
      <w:pPr>
        <w:spacing w:line="360" w:lineRule="auto"/>
        <w:ind w:left="523" w:hanging="523" w:hangingChars="218"/>
        <w:rPr>
          <w:sz w:val="24"/>
        </w:rPr>
      </w:pPr>
      <w:r>
        <w:rPr>
          <w:sz w:val="24"/>
        </w:rPr>
        <w:t xml:space="preserve">10.8 </w:t>
      </w:r>
      <w:r>
        <w:rPr>
          <w:rFonts w:hint="eastAsia"/>
          <w:sz w:val="24"/>
        </w:rPr>
        <w:t>质量保修条款有效期至保修期满且无相关遗留事项之期。</w:t>
      </w:r>
    </w:p>
    <w:p>
      <w:pPr>
        <w:pStyle w:val="23"/>
      </w:pPr>
      <w:r>
        <w:t>五、工程验收</w:t>
      </w:r>
    </w:p>
    <w:p>
      <w:pPr>
        <w:pStyle w:val="27"/>
      </w:pPr>
      <w:r>
        <w:t>第11条  工程验收</w:t>
      </w:r>
    </w:p>
    <w:p>
      <w:pPr>
        <w:spacing w:line="360" w:lineRule="auto"/>
        <w:ind w:left="523" w:hanging="523" w:hangingChars="218"/>
        <w:rPr>
          <w:rFonts w:hAnsi="宋体"/>
          <w:sz w:val="24"/>
        </w:rPr>
      </w:pPr>
      <w:r>
        <w:rPr>
          <w:rFonts w:hAnsi="宋体"/>
          <w:sz w:val="24"/>
        </w:rPr>
        <w:t>11</w:t>
      </w:r>
      <w:r>
        <w:rPr>
          <w:rFonts w:hint="eastAsia" w:hAnsi="宋体"/>
          <w:sz w:val="24"/>
        </w:rPr>
        <w:t xml:space="preserve">.1 </w:t>
      </w:r>
      <w:r>
        <w:rPr>
          <w:rFonts w:hAnsi="宋体"/>
          <w:sz w:val="24"/>
        </w:rPr>
        <w:t>工程验收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净化工程由院感管理科或疾控部门复查净化指标是否达到净化等级标准、施工图纸及说明书（如有）、有关变更增减的书面文件（如有）等资料。</w:t>
          </w:r>
        </w:sdtContent>
      </w:sdt>
    </w:p>
    <w:p>
      <w:pPr>
        <w:spacing w:line="360" w:lineRule="auto"/>
        <w:ind w:left="523" w:hanging="523" w:hangingChars="218"/>
        <w:rPr>
          <w:rFonts w:hAnsi="宋体"/>
          <w:sz w:val="24"/>
        </w:rPr>
      </w:pPr>
      <w:r>
        <w:rPr>
          <w:sz w:val="24"/>
        </w:rPr>
        <w:t>11</w:t>
      </w:r>
      <w:r>
        <w:rPr>
          <w:rFonts w:hint="eastAsia"/>
          <w:sz w:val="24"/>
        </w:rPr>
        <w:t xml:space="preserve">.2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天，由乙方通知监理公司</w:t>
      </w:r>
      <w:r>
        <w:rPr>
          <w:rFonts w:hint="eastAsia" w:hAnsi="宋体"/>
          <w:sz w:val="24"/>
        </w:rPr>
        <w:t>（如有）</w:t>
      </w:r>
      <w:r>
        <w:rPr>
          <w:rFonts w:hAnsi="宋体"/>
          <w:sz w:val="24"/>
        </w:rPr>
        <w:t>和甲方到场检查，监理公司</w:t>
      </w:r>
      <w:r>
        <w:rPr>
          <w:rFonts w:hint="eastAsia" w:hAnsi="宋体"/>
          <w:sz w:val="24"/>
        </w:rPr>
        <w:t>（如有）</w:t>
      </w:r>
      <w:r>
        <w:rPr>
          <w:rFonts w:hAnsi="宋体"/>
          <w:sz w:val="24"/>
        </w:rPr>
        <w:t>和甲方不按时到现场检查的，乙方可自行检查后隐蔽，并认真如实填写隐蔽记录，监理公司</w:t>
      </w:r>
      <w:r>
        <w:rPr>
          <w:rFonts w:hint="eastAsia" w:hAnsi="宋体"/>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顺延。若乙方未通知监理公司</w:t>
      </w:r>
      <w:r>
        <w:rPr>
          <w:rFonts w:hint="eastAsia" w:hAnsi="宋体"/>
          <w:sz w:val="24"/>
        </w:rPr>
        <w:t>（如有）</w:t>
      </w:r>
      <w:r>
        <w:rPr>
          <w:rFonts w:hAnsi="宋体"/>
          <w:sz w:val="24"/>
        </w:rPr>
        <w:t>和甲方到场检查，单方完成隐蔽工程的，监理</w:t>
      </w:r>
      <w:r>
        <w:rPr>
          <w:rFonts w:hint="eastAsia" w:hAnsi="宋体"/>
          <w:sz w:val="24"/>
        </w:rPr>
        <w:t>（如有）</w:t>
      </w:r>
      <w:r>
        <w:rPr>
          <w:rFonts w:hAnsi="宋体"/>
          <w:sz w:val="24"/>
        </w:rPr>
        <w:t>和甲方有权要求重新检查，不论检查结果是否合格，一切费用均由乙方承担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pPr>
        <w:spacing w:line="360" w:lineRule="auto"/>
        <w:ind w:left="523" w:hanging="523" w:hangingChars="218"/>
        <w:rPr>
          <w:rFonts w:hAnsi="宋体"/>
          <w:sz w:val="24"/>
        </w:rPr>
      </w:pPr>
      <w:r>
        <w:rPr>
          <w:rFonts w:hAnsi="宋体"/>
          <w:sz w:val="24"/>
        </w:rPr>
        <w:t>11</w:t>
      </w:r>
      <w:r>
        <w:rPr>
          <w:rFonts w:hint="eastAsia" w:hAnsi="宋体"/>
          <w:sz w:val="24"/>
        </w:rPr>
        <w:t>.</w:t>
      </w:r>
      <w:r>
        <w:rPr>
          <w:rFonts w:hAnsi="宋体"/>
          <w:sz w:val="24"/>
        </w:rPr>
        <w:t>3</w:t>
      </w:r>
      <w:r>
        <w:rPr>
          <w:rFonts w:hint="eastAsia" w:hAnsi="宋体"/>
          <w:sz w:val="24"/>
        </w:rPr>
        <w:t xml:space="preserve"> </w:t>
      </w:r>
      <w:r>
        <w:rPr>
          <w:rFonts w:hint="eastAsia" w:hAnsi="宋体"/>
          <w:kern w:val="0"/>
          <w:sz w:val="24"/>
        </w:rPr>
        <w:t>本项目</w:t>
      </w:r>
      <w:r>
        <w:rPr>
          <w:rFonts w:hint="eastAsia" w:hAnsi="宋体"/>
          <w:sz w:val="24"/>
        </w:rPr>
        <w:t>施工完毕且满足验收条件后，施工方向项目负责人提交验收申请，按以下流程进行验收：</w:t>
      </w:r>
    </w:p>
    <w:p>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pPr>
        <w:snapToGrid w:val="0"/>
        <w:spacing w:line="360" w:lineRule="auto"/>
        <w:ind w:left="523" w:hanging="523" w:hangingChars="218"/>
        <w:rPr>
          <w:bCs/>
          <w:sz w:val="24"/>
        </w:rPr>
      </w:pPr>
      <w:r>
        <w:rPr>
          <w:rFonts w:hAnsi="宋体"/>
          <w:bCs/>
          <w:sz w:val="24"/>
        </w:rPr>
        <w:t>11</w:t>
      </w:r>
      <w:r>
        <w:rPr>
          <w:rFonts w:hint="eastAsia" w:hAnsi="宋体"/>
          <w:bCs/>
          <w:sz w:val="24"/>
        </w:rPr>
        <w:t>.</w:t>
      </w:r>
      <w:r>
        <w:rPr>
          <w:rFonts w:hAnsi="宋体"/>
          <w:bCs/>
          <w:sz w:val="24"/>
        </w:rPr>
        <w:t>4</w:t>
      </w:r>
      <w:r>
        <w:rPr>
          <w:rFonts w:hint="eastAsia" w:hAnsi="宋体"/>
          <w:bCs/>
          <w:sz w:val="24"/>
        </w:rPr>
        <w:t xml:space="preserve"> 本</w:t>
      </w:r>
      <w:r>
        <w:rPr>
          <w:rFonts w:hAnsi="宋体"/>
          <w:bCs/>
          <w:sz w:val="24"/>
        </w:rPr>
        <w:t>工程竣工后，</w:t>
      </w:r>
      <w:sdt>
        <w:sdtPr>
          <w:rPr>
            <w:rFonts w:hAnsi="宋体"/>
            <w:bCs/>
            <w:sz w:val="24"/>
          </w:rPr>
          <w:id w:val="667223950"/>
          <w:placeholder>
            <w:docPart w:val="BC7A9748B62F43C8A514AAE34B2767D0"/>
          </w:placeholder>
        </w:sdtPr>
        <w:sdtEndPr>
          <w:rPr>
            <w:rFonts w:hAnsi="宋体"/>
            <w:bCs/>
            <w:sz w:val="24"/>
          </w:rPr>
        </w:sdtEndPr>
        <w:sdtContent>
          <w:r>
            <w:rPr>
              <w:rFonts w:hint="eastAsia" w:hAnsi="宋体"/>
              <w:bCs/>
              <w:sz w:val="24"/>
            </w:rPr>
            <w:t>需要</w:t>
          </w:r>
        </w:sdtContent>
      </w:sdt>
      <w:r>
        <w:rPr>
          <w:rFonts w:hAnsi="宋体"/>
          <w:bCs/>
          <w:sz w:val="24"/>
        </w:rPr>
        <w:t>绘制竣工图。工程变更不大的，由乙方在原施工图上加注说明，提交甲方存档。工程变更较大的，由乙方另外绘制竣工图。竣工资料及竣工图一式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w:t>
      </w:r>
      <w:r>
        <w:rPr>
          <w:rFonts w:hAnsi="宋体"/>
          <w:bCs/>
          <w:sz w:val="24"/>
        </w:rPr>
        <w:t>，由乙方重做。</w:t>
      </w:r>
    </w:p>
    <w:p>
      <w:pPr>
        <w:pStyle w:val="23"/>
      </w:pPr>
      <w:r>
        <w:t>六、合同价款与支付</w:t>
      </w:r>
    </w:p>
    <w:p>
      <w:pPr>
        <w:pStyle w:val="27"/>
      </w:pPr>
      <w:r>
        <w:t>第12条  合同价款</w:t>
      </w:r>
    </w:p>
    <w:p>
      <w:pPr>
        <w:snapToGrid w:val="0"/>
        <w:spacing w:line="360" w:lineRule="auto"/>
        <w:rPr>
          <w:sz w:val="24"/>
        </w:rPr>
      </w:pPr>
      <w:r>
        <w:rPr>
          <w:kern w:val="0"/>
          <w:sz w:val="24"/>
        </w:rPr>
        <w:t xml:space="preserve">12.1 </w:t>
      </w:r>
      <w:r>
        <w:rPr>
          <w:rFonts w:hint="eastAsia"/>
          <w:sz w:val="24"/>
        </w:rPr>
        <w:t>本项目采用总价包干计价方式，合同金额为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施工过程未发生设计变更及签证等情况，合同金额即为结算金额。若施工过程中发生变更事项并经甲方审批同意的，结算金额=合同价款+变更金额。若合同范围减少的，结算金额=合同价款-减少范围对应价款。</w:t>
      </w:r>
    </w:p>
    <w:p>
      <w:pPr>
        <w:autoSpaceDE w:val="0"/>
        <w:autoSpaceDN w:val="0"/>
        <w:adjustRightInd w:val="0"/>
        <w:snapToGrid w:val="0"/>
        <w:spacing w:line="360" w:lineRule="auto"/>
        <w:ind w:left="540" w:hanging="540" w:hangingChars="225"/>
        <w:jc w:val="left"/>
        <w:rPr>
          <w:kern w:val="0"/>
          <w:sz w:val="24"/>
        </w:rPr>
      </w:pPr>
      <w:r>
        <w:rPr>
          <w:kern w:val="0"/>
          <w:sz w:val="24"/>
        </w:rPr>
        <w:t xml:space="preserve">12.2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pPr>
        <w:autoSpaceDE w:val="0"/>
        <w:autoSpaceDN w:val="0"/>
        <w:adjustRightInd w:val="0"/>
        <w:snapToGrid w:val="0"/>
        <w:spacing w:line="360" w:lineRule="auto"/>
        <w:ind w:left="540" w:hanging="540" w:hangingChars="225"/>
        <w:jc w:val="left"/>
        <w:rPr>
          <w:rFonts w:hAnsi="宋体"/>
          <w:kern w:val="0"/>
          <w:sz w:val="24"/>
        </w:rPr>
      </w:pPr>
      <w:r>
        <w:rPr>
          <w:kern w:val="0"/>
          <w:sz w:val="24"/>
        </w:rPr>
        <w:t xml:space="preserve">12.3 </w:t>
      </w:r>
      <w:r>
        <w:rPr>
          <w:rFonts w:hAnsi="宋体"/>
          <w:kern w:val="0"/>
          <w:sz w:val="24"/>
        </w:rPr>
        <w:t>按国家规定应由乙方缴纳的各种税费已包含在本工程造价内，由乙方负责缴纳。</w:t>
      </w:r>
    </w:p>
    <w:p>
      <w:pPr>
        <w:pStyle w:val="26"/>
      </w:pPr>
      <w:r>
        <w:t>第13条  价款支付</w:t>
      </w:r>
    </w:p>
    <w:p>
      <w:pPr>
        <w:snapToGrid w:val="0"/>
        <w:spacing w:line="360" w:lineRule="auto"/>
        <w:ind w:left="523" w:hanging="523" w:hangingChars="218"/>
        <w:rPr>
          <w:bCs/>
          <w:sz w:val="24"/>
        </w:rPr>
      </w:pPr>
      <w:r>
        <w:rPr>
          <w:rFonts w:hint="eastAsia" w:hAnsi="宋体"/>
          <w:bCs/>
          <w:sz w:val="24"/>
        </w:rPr>
        <w:t xml:space="preserve">13.1 </w:t>
      </w:r>
      <w:r>
        <w:rPr>
          <w:rFonts w:hAnsi="宋体"/>
          <w:bCs/>
          <w:sz w:val="24"/>
        </w:rPr>
        <w:t>甲方</w:t>
      </w:r>
      <w:r>
        <w:rPr>
          <w:rFonts w:hint="eastAsia" w:hAnsi="宋体"/>
          <w:bCs/>
          <w:sz w:val="24"/>
        </w:rPr>
        <w:t>通过转账或汇票方式支付乙方工程款。</w:t>
      </w:r>
    </w:p>
    <w:p>
      <w:pPr>
        <w:snapToGrid w:val="0"/>
        <w:spacing w:line="360" w:lineRule="auto"/>
        <w:ind w:left="523" w:hanging="523" w:hangingChars="218"/>
        <w:rPr>
          <w:bCs/>
          <w:sz w:val="24"/>
        </w:rPr>
      </w:pPr>
      <w:r>
        <w:rPr>
          <w:bCs/>
          <w:sz w:val="24"/>
        </w:rPr>
        <w:t xml:space="preserve">13.2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rPr>
            <w:t>项目验收合格，乙方提供有效的开票资料，采购人支付至结算金额的97%，余3%作为质量保证金，待质保结束后支付</w:t>
          </w:r>
        </w:sdtContent>
      </w:sdt>
      <w:r>
        <w:rPr>
          <w:rFonts w:hint="eastAsia" w:hAnsi="宋体"/>
          <w:bCs/>
          <w:sz w:val="24"/>
        </w:rPr>
        <w:t>。甲方每次付款前乙方需提供合法有效等额发票。</w:t>
      </w:r>
    </w:p>
    <w:p>
      <w:pPr>
        <w:spacing w:line="360" w:lineRule="auto"/>
        <w:ind w:left="523" w:hanging="523" w:hangingChars="218"/>
        <w:rPr>
          <w:bCs/>
          <w:sz w:val="24"/>
        </w:rPr>
      </w:pPr>
      <w:r>
        <w:rPr>
          <w:rFonts w:hint="eastAsia"/>
          <w:bCs/>
          <w:sz w:val="24"/>
        </w:rPr>
        <w:t>13</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pPr>
        <w:spacing w:line="360" w:lineRule="auto"/>
        <w:ind w:left="523" w:hanging="523" w:hangingChars="218"/>
        <w:rPr>
          <w:bCs/>
          <w:sz w:val="24"/>
        </w:rPr>
      </w:pPr>
      <w:r>
        <w:rPr>
          <w:rFonts w:hint="eastAsia"/>
          <w:bCs/>
          <w:sz w:val="24"/>
        </w:rPr>
        <w:t>13</w:t>
      </w:r>
      <w:r>
        <w:rPr>
          <w:bCs/>
          <w:sz w:val="24"/>
        </w:rPr>
        <w:t>.4</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pPr>
        <w:pStyle w:val="23"/>
      </w:pPr>
      <w:r>
        <w:t>七、工程变更</w:t>
      </w:r>
    </w:p>
    <w:p>
      <w:pPr>
        <w:pStyle w:val="27"/>
      </w:pPr>
      <w:r>
        <w:t>第14条  设计变更</w:t>
      </w:r>
    </w:p>
    <w:p>
      <w:pPr>
        <w:spacing w:line="360" w:lineRule="auto"/>
        <w:ind w:left="523" w:hanging="523" w:hangingChars="218"/>
        <w:rPr>
          <w:bCs/>
          <w:sz w:val="24"/>
        </w:rPr>
      </w:pPr>
      <w:r>
        <w:rPr>
          <w:rFonts w:hint="eastAsia"/>
          <w:bCs/>
          <w:sz w:val="24"/>
        </w:rPr>
        <w:t xml:space="preserve">14.1 </w:t>
      </w:r>
      <w:r>
        <w:rPr>
          <w:bCs/>
          <w:sz w:val="24"/>
        </w:rPr>
        <w:t>甲方交付的设计图纸、说明和有关技术资料，作为施工的有效依据，开工前由甲方组织的设计交底及图纸会审纪要，作为施工的补充依据，甲乙双方不得擅自修改。</w:t>
      </w:r>
      <w:r>
        <w:rPr>
          <w:rFonts w:hint="eastAsia"/>
          <w:bCs/>
          <w:sz w:val="24"/>
        </w:rPr>
        <w:t>允许设计变更的原则：</w:t>
      </w:r>
    </w:p>
    <w:p>
      <w:pPr>
        <w:spacing w:line="360" w:lineRule="auto"/>
        <w:ind w:firstLine="482"/>
        <w:rPr>
          <w:sz w:val="24"/>
        </w:rPr>
      </w:pPr>
      <w:r>
        <w:rPr>
          <w:rFonts w:hint="eastAsia"/>
          <w:sz w:val="24"/>
        </w:rPr>
        <w:t>（1）设计存在有违国家设计规范的失误或错、漏；</w:t>
      </w:r>
    </w:p>
    <w:p>
      <w:pPr>
        <w:spacing w:line="360" w:lineRule="auto"/>
        <w:ind w:firstLine="482"/>
        <w:rPr>
          <w:sz w:val="24"/>
        </w:rPr>
      </w:pPr>
      <w:r>
        <w:rPr>
          <w:rFonts w:hint="eastAsia"/>
          <w:sz w:val="24"/>
        </w:rPr>
        <w:t>（2）由于采用更有利于工程进度或成本的新工艺、新技术；</w:t>
      </w:r>
    </w:p>
    <w:p>
      <w:pPr>
        <w:spacing w:line="360" w:lineRule="auto"/>
        <w:ind w:firstLine="482"/>
        <w:rPr>
          <w:sz w:val="24"/>
        </w:rPr>
      </w:pPr>
      <w:r>
        <w:rPr>
          <w:rFonts w:hint="eastAsia"/>
          <w:sz w:val="24"/>
        </w:rPr>
        <w:t>（3）由于原定使用的材料品种或品牌停产或选择错误；</w:t>
      </w:r>
    </w:p>
    <w:p>
      <w:pPr>
        <w:spacing w:line="360" w:lineRule="auto"/>
        <w:ind w:firstLine="482"/>
        <w:rPr>
          <w:sz w:val="24"/>
        </w:rPr>
      </w:pPr>
      <w:r>
        <w:rPr>
          <w:rFonts w:hint="eastAsia"/>
          <w:sz w:val="24"/>
        </w:rPr>
        <w:t>（4）由于结构、天气、施工条件限制等因素导致的方案变更；</w:t>
      </w:r>
    </w:p>
    <w:p>
      <w:pPr>
        <w:spacing w:line="360" w:lineRule="auto"/>
        <w:ind w:firstLine="482"/>
        <w:rPr>
          <w:sz w:val="24"/>
        </w:rPr>
      </w:pPr>
      <w:r>
        <w:rPr>
          <w:rFonts w:hint="eastAsia"/>
          <w:sz w:val="24"/>
        </w:rPr>
        <w:t>（5）设计或行业标准规范造成实施内容发生改变；</w:t>
      </w:r>
    </w:p>
    <w:p>
      <w:pPr>
        <w:spacing w:line="360" w:lineRule="auto"/>
        <w:ind w:firstLine="482"/>
        <w:rPr>
          <w:sz w:val="24"/>
        </w:rPr>
      </w:pPr>
      <w:r>
        <w:rPr>
          <w:rFonts w:hint="eastAsia"/>
          <w:sz w:val="24"/>
        </w:rPr>
        <w:t>（5）其他应进行变更的情况。</w:t>
      </w:r>
    </w:p>
    <w:p>
      <w:pPr>
        <w:spacing w:line="360" w:lineRule="auto"/>
        <w:ind w:left="523" w:hanging="523" w:hangingChars="218"/>
        <w:rPr>
          <w:bCs/>
          <w:sz w:val="24"/>
        </w:rPr>
      </w:pPr>
      <w:r>
        <w:rPr>
          <w:rFonts w:hint="eastAsia"/>
          <w:bCs/>
          <w:sz w:val="24"/>
        </w:rPr>
        <w:t xml:space="preserve">14.2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pPr>
        <w:spacing w:line="360" w:lineRule="auto"/>
        <w:ind w:left="523" w:hanging="523" w:hangingChars="218"/>
        <w:rPr>
          <w:bCs/>
          <w:sz w:val="24"/>
        </w:rPr>
      </w:pPr>
      <w:r>
        <w:rPr>
          <w:rFonts w:hint="eastAsia"/>
          <w:bCs/>
          <w:sz w:val="24"/>
        </w:rPr>
        <w:t xml:space="preserve">14.3 </w:t>
      </w:r>
      <w:r>
        <w:rPr>
          <w:bCs/>
          <w:sz w:val="24"/>
        </w:rPr>
        <w:t>乙方如需对设计图纸进行变更，须经甲方及设计单位</w:t>
      </w:r>
      <w:r>
        <w:rPr>
          <w:rFonts w:hint="eastAsia"/>
          <w:bCs/>
          <w:sz w:val="24"/>
        </w:rPr>
        <w:t>（如有）</w:t>
      </w:r>
      <w:r>
        <w:rPr>
          <w:bCs/>
          <w:sz w:val="24"/>
        </w:rPr>
        <w:t>同意。</w:t>
      </w:r>
    </w:p>
    <w:p>
      <w:pPr>
        <w:spacing w:line="360" w:lineRule="auto"/>
        <w:ind w:left="523" w:hanging="523" w:hangingChars="218"/>
        <w:rPr>
          <w:bCs/>
          <w:sz w:val="24"/>
        </w:rPr>
      </w:pPr>
      <w:r>
        <w:rPr>
          <w:rFonts w:hint="eastAsia"/>
          <w:bCs/>
          <w:sz w:val="24"/>
        </w:rPr>
        <w:t xml:space="preserve">14.4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pPr>
        <w:spacing w:line="360" w:lineRule="auto"/>
        <w:ind w:left="523" w:hanging="523" w:hangingChars="218"/>
        <w:rPr>
          <w:bCs/>
          <w:sz w:val="24"/>
        </w:rPr>
      </w:pPr>
      <w:r>
        <w:rPr>
          <w:rFonts w:hint="eastAsia"/>
          <w:bCs/>
          <w:sz w:val="24"/>
        </w:rPr>
        <w:t>14.</w:t>
      </w:r>
      <w:r>
        <w:rPr>
          <w:bCs/>
          <w:sz w:val="24"/>
        </w:rPr>
        <w:t>5</w:t>
      </w:r>
      <w:r>
        <w:rPr>
          <w:rFonts w:hint="eastAsia"/>
          <w:bCs/>
          <w:sz w:val="24"/>
        </w:rPr>
        <w:t xml:space="preserve"> </w:t>
      </w:r>
      <w:r>
        <w:rPr>
          <w:bCs/>
          <w:sz w:val="24"/>
        </w:rPr>
        <w:t>乙方施工质量问题或安排不当导致设计变更而发生的费用均由乙方承担，工期不予顺延。</w:t>
      </w:r>
    </w:p>
    <w:p>
      <w:pPr>
        <w:pStyle w:val="26"/>
      </w:pPr>
      <w:r>
        <w:t xml:space="preserve">第15条  </w:t>
      </w:r>
      <w:r>
        <w:rPr>
          <w:rFonts w:hint="eastAsia"/>
        </w:rPr>
        <w:t>签证</w:t>
      </w:r>
      <w:r>
        <w:t>变更</w:t>
      </w:r>
    </w:p>
    <w:p>
      <w:pPr>
        <w:spacing w:line="360" w:lineRule="auto"/>
        <w:ind w:left="523" w:hanging="523" w:hangingChars="218"/>
        <w:rPr>
          <w:sz w:val="24"/>
        </w:rPr>
      </w:pPr>
      <w:r>
        <w:rPr>
          <w:rFonts w:hint="eastAsia"/>
          <w:sz w:val="24"/>
        </w:rPr>
        <w:t>1</w:t>
      </w:r>
      <w:r>
        <w:rPr>
          <w:sz w:val="24"/>
        </w:rPr>
        <w:t>5</w:t>
      </w:r>
      <w:r>
        <w:rPr>
          <w:rFonts w:hint="eastAsia"/>
          <w:sz w:val="24"/>
        </w:rPr>
        <w:t>.1 甲方根据现场情况，可对工程其他内容进行变更。乙方对甲方的变更指令应予以执行。</w:t>
      </w:r>
    </w:p>
    <w:p>
      <w:pPr>
        <w:spacing w:line="360" w:lineRule="auto"/>
        <w:ind w:left="523" w:hanging="523" w:hangingChars="218"/>
        <w:rPr>
          <w:sz w:val="24"/>
        </w:rPr>
      </w:pPr>
      <w:r>
        <w:rPr>
          <w:rFonts w:hint="eastAsia"/>
          <w:sz w:val="24"/>
        </w:rPr>
        <w:t>1</w:t>
      </w:r>
      <w:r>
        <w:rPr>
          <w:sz w:val="24"/>
        </w:rPr>
        <w:t xml:space="preserve">5.2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pPr>
        <w:spacing w:line="360" w:lineRule="auto"/>
        <w:ind w:firstLine="482"/>
        <w:rPr>
          <w:sz w:val="24"/>
        </w:rPr>
      </w:pPr>
      <w:r>
        <w:rPr>
          <w:rFonts w:hint="eastAsia"/>
          <w:sz w:val="24"/>
        </w:rPr>
        <w:t>（1）签证应真实、表达应清晰、详细；投标单价已含的工作内容不能重复签证；对于未按要求、手续不全，明显不合理的签证不予承认；</w:t>
      </w:r>
    </w:p>
    <w:p>
      <w:pPr>
        <w:spacing w:line="360" w:lineRule="auto"/>
        <w:ind w:firstLine="482"/>
        <w:rPr>
          <w:sz w:val="24"/>
        </w:rPr>
      </w:pPr>
      <w:r>
        <w:rPr>
          <w:rFonts w:hint="eastAsia"/>
          <w:sz w:val="24"/>
        </w:rPr>
        <w:t>（2）可明确计算工程量的签证，只能签工程量而不能签人工工日和机械台班数量、金额；</w:t>
      </w:r>
    </w:p>
    <w:p>
      <w:pPr>
        <w:spacing w:line="360" w:lineRule="auto"/>
        <w:ind w:firstLine="482"/>
        <w:rPr>
          <w:sz w:val="24"/>
        </w:rPr>
      </w:pPr>
      <w:r>
        <w:rPr>
          <w:rFonts w:hint="eastAsia"/>
          <w:sz w:val="24"/>
        </w:rPr>
        <w:t>（3）无法计算工程量的签证，可签所发生的工程内容、人工工日或机械台班数量，或包干金额（仅限2千元以下）；</w:t>
      </w:r>
    </w:p>
    <w:p>
      <w:pPr>
        <w:spacing w:line="360" w:lineRule="auto"/>
        <w:ind w:firstLine="482"/>
        <w:rPr>
          <w:sz w:val="24"/>
        </w:rPr>
      </w:pPr>
      <w:r>
        <w:rPr>
          <w:rFonts w:hint="eastAsia"/>
          <w:sz w:val="24"/>
        </w:rPr>
        <w:t>（4）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pPr>
        <w:spacing w:line="360" w:lineRule="auto"/>
        <w:ind w:firstLine="482"/>
        <w:rPr>
          <w:sz w:val="24"/>
        </w:rPr>
      </w:pPr>
      <w:r>
        <w:rPr>
          <w:rFonts w:hint="eastAsia"/>
          <w:sz w:val="24"/>
        </w:rPr>
        <w:t>（5）签证单需由施工单位、监理单位（如有）签字盖章和2名发包人管理人员签字确认。</w:t>
      </w:r>
    </w:p>
    <w:p>
      <w:pPr>
        <w:pStyle w:val="26"/>
      </w:pPr>
      <w:r>
        <w:t>第16条  变更价款</w:t>
      </w:r>
    </w:p>
    <w:p>
      <w:pPr>
        <w:snapToGrid w:val="0"/>
        <w:spacing w:line="360" w:lineRule="auto"/>
        <w:ind w:left="523" w:hanging="523" w:hangingChars="218"/>
        <w:rPr>
          <w:bCs/>
          <w:sz w:val="24"/>
        </w:rPr>
      </w:pPr>
      <w:r>
        <w:rPr>
          <w:rFonts w:hint="eastAsia" w:hAnsi="宋体"/>
          <w:bCs/>
          <w:sz w:val="24"/>
        </w:rPr>
        <w:t>16.1 根据合同约定甲方应予以费用签证的</w:t>
      </w:r>
      <w:r>
        <w:rPr>
          <w:rFonts w:hAnsi="宋体"/>
          <w:bCs/>
          <w:sz w:val="24"/>
        </w:rPr>
        <w:t>工程变更，乙方应在收到变更通知或签署变更协议后</w:t>
      </w:r>
      <w:r>
        <w:rPr>
          <w:rFonts w:hint="eastAsia" w:hAnsi="宋体"/>
          <w:bCs/>
          <w:sz w:val="24"/>
        </w:rPr>
        <w:t>10</w:t>
      </w:r>
      <w:r>
        <w:rPr>
          <w:rFonts w:hint="eastAsia"/>
          <w:bCs/>
          <w:sz w:val="24"/>
        </w:rPr>
        <w:t>个工作</w:t>
      </w:r>
      <w:r>
        <w:rPr>
          <w:rFonts w:hAnsi="宋体"/>
          <w:bCs/>
          <w:sz w:val="24"/>
        </w:rPr>
        <w:t>日内提出变更工程量及价款报告资料，向甲方提出书面签证申请。签证申请逾期不得补办。</w:t>
      </w:r>
    </w:p>
    <w:p>
      <w:pPr>
        <w:snapToGrid w:val="0"/>
        <w:spacing w:line="360" w:lineRule="auto"/>
        <w:ind w:left="523" w:hanging="523" w:hangingChars="218"/>
        <w:rPr>
          <w:rFonts w:hAnsi="宋体"/>
          <w:bCs/>
          <w:sz w:val="24"/>
        </w:rPr>
      </w:pPr>
      <w:r>
        <w:rPr>
          <w:rFonts w:hint="eastAsia"/>
          <w:bCs/>
          <w:sz w:val="24"/>
        </w:rPr>
        <w:t>16</w:t>
      </w:r>
      <w:r>
        <w:rPr>
          <w:bCs/>
          <w:sz w:val="24"/>
        </w:rPr>
        <w:t xml:space="preserve">.2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int="eastAsia" w:hAnsi="宋体"/>
          <w:bCs/>
          <w:sz w:val="24"/>
        </w:rPr>
        <w:t>或拒绝签证并提供合理理由</w:t>
      </w:r>
      <w:r>
        <w:rPr>
          <w:rFonts w:hAnsi="宋体"/>
          <w:bCs/>
          <w:sz w:val="24"/>
        </w:rPr>
        <w:t>，逾期无正当理由不确认时，视为变更报告已批准。</w:t>
      </w:r>
    </w:p>
    <w:p>
      <w:pPr>
        <w:snapToGrid w:val="0"/>
        <w:spacing w:line="360" w:lineRule="auto"/>
        <w:ind w:left="523" w:hanging="523" w:hangingChars="218"/>
        <w:rPr>
          <w:rFonts w:hAnsi="宋体"/>
          <w:bCs/>
          <w:sz w:val="24"/>
        </w:rPr>
      </w:pPr>
      <w:r>
        <w:rPr>
          <w:rFonts w:hint="eastAsia" w:hAnsi="宋体"/>
          <w:bCs/>
          <w:sz w:val="24"/>
        </w:rPr>
        <w:t>16.3 总价包干或单价包干（工程量清单计价方式）合同变更签证的结算方法：</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合同中已有适用于变更工程的价格，按合同已有的价格变更合同价款；</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合同中只有类似于变更工程的价格，可以参照类似价格变更合同价款；</w:t>
      </w:r>
    </w:p>
    <w:p>
      <w:pPr>
        <w:numPr>
          <w:ilvl w:val="0"/>
          <w:numId w:val="8"/>
        </w:numPr>
        <w:tabs>
          <w:tab w:val="left" w:pos="1365"/>
        </w:tabs>
        <w:snapToGrid w:val="0"/>
        <w:spacing w:line="360" w:lineRule="auto"/>
        <w:rPr>
          <w:rFonts w:ascii="宋体" w:hAnsi="宋体"/>
          <w:sz w:val="24"/>
        </w:rPr>
      </w:pPr>
      <w:r>
        <w:rPr>
          <w:rFonts w:hint="eastAsia" w:ascii="宋体" w:hAnsi="宋体"/>
          <w:sz w:val="24"/>
        </w:rPr>
        <w:t>合同中没有适用于或类似于变更工程的价格，</w:t>
      </w:r>
      <w:sdt>
        <w:sdtPr>
          <w:rPr>
            <w:rStyle w:val="20"/>
            <w:rFonts w:hint="eastAsia"/>
          </w:rPr>
          <w:id w:val="236514544"/>
          <w:placeholder>
            <w:docPart w:val="506AC4DA995B4615B19DB09ECFD172A0"/>
          </w:placeholder>
        </w:sdtPr>
        <w:sdtEndPr>
          <w:rPr>
            <w:rStyle w:val="13"/>
            <w:rFonts w:hint="eastAsia" w:ascii="Times New Roman" w:hAnsi="Times New Roman" w:cs="Times New Roman"/>
            <w:sz w:val="21"/>
            <w:u w:val="none"/>
          </w:rPr>
        </w:sdtEndPr>
        <w:sdtContent>
          <w:r>
            <w:rPr>
              <w:rStyle w:val="20"/>
              <w:rFonts w:hint="eastAsia"/>
            </w:rPr>
            <w:t>但其它近期类似工程合同中有可参考价格时，甲乙双方评估合理后，可参考其它项目的合同单价，由施工单位提出经甲方审核同意后执行，价格的水平按照合同中已有价格的水平；或对相应价格进行市场询价作为确认依据；或执行广东省相关定额并按本合同下浮率下浮（下浮率=中标价/最高限价*</w:t>
          </w:r>
          <w:r>
            <w:rPr>
              <w:rStyle w:val="20"/>
            </w:rPr>
            <w:t>100</w:t>
          </w:r>
          <w:r>
            <w:rPr>
              <w:rStyle w:val="20"/>
              <w:rFonts w:hint="eastAsia"/>
            </w:rPr>
            <w:t>%）</w:t>
          </w:r>
        </w:sdtContent>
      </w:sdt>
      <w:r>
        <w:rPr>
          <w:rFonts w:hint="eastAsia" w:ascii="宋体" w:hAnsi="宋体"/>
          <w:sz w:val="24"/>
        </w:rPr>
        <w:t>。</w:t>
      </w:r>
    </w:p>
    <w:p>
      <w:pPr>
        <w:pStyle w:val="23"/>
      </w:pPr>
      <w:r>
        <w:t>八、其他</w:t>
      </w:r>
    </w:p>
    <w:p>
      <w:pPr>
        <w:pStyle w:val="26"/>
      </w:pPr>
      <w:r>
        <w:t>第17条  违约责任</w:t>
      </w:r>
    </w:p>
    <w:p>
      <w:pPr>
        <w:spacing w:line="360" w:lineRule="auto"/>
        <w:ind w:left="523" w:hanging="523" w:hangingChars="218"/>
        <w:rPr>
          <w:rFonts w:hAnsi="宋体"/>
          <w:sz w:val="24"/>
        </w:rPr>
      </w:pPr>
      <w:r>
        <w:rPr>
          <w:rFonts w:hAnsi="宋体"/>
          <w:sz w:val="24"/>
        </w:rPr>
        <w:t>17</w:t>
      </w:r>
      <w:r>
        <w:rPr>
          <w:rFonts w:hint="eastAsia" w:hAnsi="宋体"/>
          <w:sz w:val="24"/>
        </w:rPr>
        <w:t>.1 甲方违约责任</w:t>
      </w:r>
    </w:p>
    <w:p>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pPr>
        <w:snapToGrid w:val="0"/>
        <w:spacing w:line="360" w:lineRule="auto"/>
        <w:ind w:left="4080" w:hanging="4080" w:hangingChars="1700"/>
        <w:rPr>
          <w:rFonts w:hAnsi="宋体"/>
          <w:sz w:val="24"/>
        </w:rPr>
      </w:pPr>
      <w:bookmarkStart w:id="4" w:name="_Hlk135320688"/>
      <w:r>
        <w:rPr>
          <w:rFonts w:hAnsi="宋体"/>
          <w:sz w:val="24"/>
        </w:rPr>
        <w:t>17</w:t>
      </w:r>
      <w:r>
        <w:rPr>
          <w:rFonts w:hint="eastAsia" w:hAnsi="宋体"/>
          <w:sz w:val="24"/>
        </w:rPr>
        <w:t>.</w:t>
      </w:r>
      <w:r>
        <w:rPr>
          <w:rFonts w:hAnsi="宋体"/>
          <w:sz w:val="24"/>
        </w:rPr>
        <w:t>2</w:t>
      </w:r>
      <w:r>
        <w:rPr>
          <w:rFonts w:hint="eastAsia" w:hAnsi="宋体"/>
          <w:sz w:val="24"/>
        </w:rPr>
        <w:t xml:space="preserve"> 乙方违约责任</w:t>
      </w:r>
    </w:p>
    <w:p>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dtPr>
        <w:sdtEndPr>
          <w:rPr>
            <w:rFonts w:hint="eastAsia" w:hAnsi="宋体"/>
            <w:color w:val="auto"/>
            <w:sz w:val="24"/>
            <w:u w:val="none"/>
          </w:rPr>
        </w:sdtEndPr>
        <w:sdtContent>
          <w:r>
            <w:rPr>
              <w:rFonts w:hAnsi="宋体"/>
              <w:color w:val="FF0000"/>
              <w:sz w:val="24"/>
              <w:u w:val="single"/>
            </w:rPr>
            <w:t>500</w:t>
          </w:r>
        </w:sdtContent>
      </w:sdt>
      <w:r>
        <w:rPr>
          <w:rFonts w:hint="eastAsia" w:hAnsi="宋体"/>
          <w:sz w:val="24"/>
        </w:rPr>
        <w:t>元。</w:t>
      </w:r>
    </w:p>
    <w:p>
      <w:pPr>
        <w:snapToGrid w:val="0"/>
        <w:spacing w:line="360" w:lineRule="auto"/>
        <w:ind w:left="1140" w:hanging="720"/>
        <w:rPr>
          <w:rFonts w:hAnsi="宋体"/>
          <w:sz w:val="24"/>
        </w:rPr>
      </w:pPr>
      <w:r>
        <w:rPr>
          <w:rFonts w:hint="eastAsia" w:hAnsi="宋体"/>
          <w:bCs/>
          <w:sz w:val="24"/>
        </w:rPr>
        <w:t>（4）</w:t>
      </w:r>
      <w:bookmarkStart w:id="5" w:name="_Hlk159165079"/>
      <w:r>
        <w:rPr>
          <w:rFonts w:hint="eastAsia" w:hAnsi="宋体"/>
          <w:sz w:val="24"/>
        </w:rPr>
        <w:t>乙方施工过程或结果不符合招投标文</w:t>
      </w:r>
      <w:bookmarkStart w:id="10" w:name="_GoBack"/>
      <w:bookmarkEnd w:id="10"/>
      <w:r>
        <w:rPr>
          <w:rFonts w:hint="eastAsia" w:hAnsi="宋体"/>
          <w:sz w:val="24"/>
        </w:rPr>
        <w:t>件、采购需求、合同条款等情况，每次视严重程度罚款</w:t>
      </w:r>
      <w:sdt>
        <w:sdtPr>
          <w:rPr>
            <w:rFonts w:hint="eastAsia" w:hAnsi="宋体"/>
            <w:color w:val="FF0000"/>
            <w:sz w:val="24"/>
            <w:u w:val="single"/>
          </w:rPr>
          <w:id w:val="1193114882"/>
          <w:placeholder>
            <w:docPart w:val="219227CFBA3B4177BE7B1656110AD3CA"/>
          </w:placeholder>
        </w:sdtPr>
        <w:sdtEndPr>
          <w:rPr>
            <w:rFonts w:hint="eastAsia" w:hAnsi="宋体"/>
            <w:color w:val="auto"/>
            <w:sz w:val="24"/>
            <w:u w:val="none"/>
          </w:rPr>
        </w:sdtEndPr>
        <w:sdtContent>
          <w:r>
            <w:rPr>
              <w:rFonts w:hAnsi="宋体"/>
              <w:color w:val="FF0000"/>
              <w:sz w:val="24"/>
              <w:u w:val="single"/>
            </w:rPr>
            <w:t>2000~10000</w:t>
          </w:r>
        </w:sdtContent>
      </w:sdt>
      <w:r>
        <w:rPr>
          <w:rFonts w:hint="eastAsia" w:hAnsi="宋体"/>
          <w:sz w:val="24"/>
        </w:rPr>
        <w:t>元。</w:t>
      </w:r>
      <w:bookmarkEnd w:id="5"/>
    </w:p>
    <w:bookmarkEnd w:id="4"/>
    <w:p>
      <w:pPr>
        <w:snapToGrid w:val="0"/>
        <w:spacing w:line="360" w:lineRule="auto"/>
        <w:ind w:left="1140" w:hanging="720"/>
        <w:rPr>
          <w:rFonts w:hAnsi="宋体"/>
          <w:sz w:val="24"/>
        </w:rPr>
      </w:pPr>
      <w:r>
        <w:rPr>
          <w:rFonts w:hint="eastAsia" w:hAnsi="宋体"/>
          <w:sz w:val="24"/>
        </w:rPr>
        <w:t>（</w:t>
      </w:r>
      <w:r>
        <w:rPr>
          <w:rFonts w:hAnsi="宋体"/>
          <w:sz w:val="24"/>
        </w:rPr>
        <w:t>5</w:t>
      </w:r>
      <w:r>
        <w:rPr>
          <w:rFonts w:hint="eastAsia" w:hAnsi="宋体"/>
          <w:sz w:val="24"/>
        </w:rPr>
        <w:t>）</w:t>
      </w:r>
      <w:r>
        <w:rPr>
          <w:rFonts w:hAnsi="宋体"/>
          <w:sz w:val="24"/>
        </w:rPr>
        <w:t>其它违约责任：</w:t>
      </w:r>
      <w:sdt>
        <w:sdtPr>
          <w:rPr>
            <w:rFonts w:hAnsi="宋体"/>
            <w:sz w:val="24"/>
          </w:rPr>
          <w:id w:val="-134567801"/>
          <w:placeholder>
            <w:docPart w:val="9F228B53FBE54C7F8CD30EB11683E4D3"/>
          </w:placeholder>
        </w:sdtPr>
        <w:sdtEndPr>
          <w:rPr>
            <w:rFonts w:hAnsi="宋体"/>
            <w:sz w:val="24"/>
            <w:u w:val="single"/>
          </w:rPr>
        </w:sdtEndPr>
        <w:sdtContent>
          <w:r>
            <w:rPr>
              <w:rFonts w:hint="eastAsia" w:hAnsi="宋体"/>
              <w:color w:val="FF0000"/>
              <w:sz w:val="24"/>
              <w:u w:val="single"/>
            </w:rPr>
            <w:t>在项目质保期内，若乙方</w:t>
          </w:r>
          <w:r>
            <w:rPr>
              <w:rFonts w:hint="eastAsia" w:hAnsi="宋体"/>
              <w:color w:val="FF0000"/>
              <w:sz w:val="24"/>
              <w:u w:val="single"/>
              <w:lang w:val="en-US" w:eastAsia="zh-CN"/>
            </w:rPr>
            <w:t>所有工程内容</w:t>
          </w:r>
          <w:r>
            <w:rPr>
              <w:rFonts w:hint="eastAsia" w:hAnsi="宋体"/>
              <w:color w:val="FF0000"/>
              <w:sz w:val="24"/>
              <w:u w:val="single"/>
            </w:rPr>
            <w:t>出现</w:t>
          </w:r>
          <w:r>
            <w:rPr>
              <w:rFonts w:hint="eastAsia" w:hAnsi="宋体"/>
              <w:color w:val="FF0000"/>
              <w:sz w:val="24"/>
              <w:u w:val="single"/>
              <w:lang w:val="en-US" w:eastAsia="zh-CN"/>
            </w:rPr>
            <w:t>工程</w:t>
          </w:r>
          <w:r>
            <w:rPr>
              <w:rFonts w:hint="eastAsia" w:hAnsi="宋体"/>
              <w:color w:val="FF0000"/>
              <w:sz w:val="24"/>
              <w:u w:val="single"/>
            </w:rPr>
            <w:t>范围内的故障，乙方承担保修责任，若乙方拒绝保修，甲方有权请第三方公司进行维修，所产生的费用由乙方承担</w:t>
          </w:r>
        </w:sdtContent>
      </w:sdt>
      <w:r>
        <w:rPr>
          <w:rFonts w:hint="eastAsia" w:hAnsi="宋体"/>
          <w:sz w:val="24"/>
        </w:rPr>
        <w:t>。</w:t>
      </w:r>
    </w:p>
    <w:p>
      <w:pPr>
        <w:snapToGrid w:val="0"/>
        <w:spacing w:line="360" w:lineRule="auto"/>
        <w:ind w:left="1140" w:hanging="720"/>
        <w:rPr>
          <w:sz w:val="24"/>
        </w:rPr>
      </w:pPr>
      <w:r>
        <w:rPr>
          <w:rFonts w:hint="eastAsia" w:hAnsi="宋体"/>
          <w:sz w:val="24"/>
        </w:rPr>
        <w:t>（6）</w:t>
      </w:r>
      <w:bookmarkStart w:id="6" w:name="_Hlk159165093"/>
      <w:r>
        <w:rPr>
          <w:rFonts w:hint="eastAsia" w:hAnsi="宋体"/>
          <w:sz w:val="24"/>
        </w:rPr>
        <w:t>以上罚款不免除乙方责任，因乙方违约造成的甲方损失、社会影响等全部由乙方承担或消除影响。</w:t>
      </w:r>
    </w:p>
    <w:bookmarkEnd w:id="6"/>
    <w:p>
      <w:pPr>
        <w:pStyle w:val="26"/>
      </w:pPr>
      <w:r>
        <w:t>第18条  合同的生效、解除和</w:t>
      </w:r>
      <w:r>
        <w:rPr>
          <w:rFonts w:hint="eastAsia"/>
        </w:rPr>
        <w:t>终</w:t>
      </w:r>
      <w:r>
        <w:t>止</w:t>
      </w:r>
    </w:p>
    <w:p>
      <w:pPr>
        <w:spacing w:line="360" w:lineRule="auto"/>
        <w:ind w:left="523" w:hanging="523" w:hangingChars="218"/>
        <w:rPr>
          <w:sz w:val="24"/>
        </w:rPr>
      </w:pPr>
      <w:r>
        <w:rPr>
          <w:rFonts w:hAnsi="宋体"/>
          <w:sz w:val="24"/>
        </w:rPr>
        <w:t>18</w:t>
      </w:r>
      <w:r>
        <w:rPr>
          <w:rFonts w:hint="eastAsia" w:hAnsi="宋体"/>
          <w:sz w:val="24"/>
        </w:rPr>
        <w:t xml:space="preserve">.1 </w:t>
      </w:r>
      <w:r>
        <w:rPr>
          <w:rFonts w:hAnsi="宋体"/>
          <w:sz w:val="24"/>
        </w:rPr>
        <w:t>本合同自双方签字盖章之日起生效。</w:t>
      </w:r>
    </w:p>
    <w:p>
      <w:pPr>
        <w:snapToGrid w:val="0"/>
        <w:spacing w:line="360" w:lineRule="auto"/>
        <w:ind w:left="523" w:hanging="523" w:hangingChars="218"/>
        <w:rPr>
          <w:rFonts w:hAnsi="宋体"/>
          <w:bCs/>
          <w:sz w:val="24"/>
        </w:rPr>
      </w:pPr>
      <w:r>
        <w:rPr>
          <w:rFonts w:hAnsi="宋体"/>
          <w:bCs/>
          <w:sz w:val="24"/>
        </w:rPr>
        <w:t>18</w:t>
      </w:r>
      <w:r>
        <w:rPr>
          <w:rFonts w:hint="eastAsia" w:hAnsi="宋体"/>
          <w:bCs/>
          <w:sz w:val="24"/>
        </w:rPr>
        <w:t>.2 关于合同解除的规定：</w:t>
      </w:r>
    </w:p>
    <w:p>
      <w:pPr>
        <w:numPr>
          <w:ilvl w:val="1"/>
          <w:numId w:val="9"/>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pPr>
        <w:numPr>
          <w:ilvl w:val="1"/>
          <w:numId w:val="9"/>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pPr>
        <w:numPr>
          <w:ilvl w:val="1"/>
          <w:numId w:val="9"/>
        </w:numPr>
        <w:snapToGrid w:val="0"/>
        <w:spacing w:line="360" w:lineRule="auto"/>
        <w:rPr>
          <w:bCs/>
          <w:sz w:val="24"/>
        </w:rPr>
      </w:pPr>
      <w:r>
        <w:rPr>
          <w:rFonts w:hAnsi="宋体"/>
          <w:bCs/>
          <w:sz w:val="24"/>
        </w:rPr>
        <w:t>有下列情形之一的，甲方、乙方可以解除合同：</w:t>
      </w:r>
    </w:p>
    <w:p>
      <w:pPr>
        <w:numPr>
          <w:ilvl w:val="0"/>
          <w:numId w:val="10"/>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pPr>
        <w:numPr>
          <w:ilvl w:val="0"/>
          <w:numId w:val="10"/>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pPr>
        <w:numPr>
          <w:ilvl w:val="1"/>
          <w:numId w:val="9"/>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pPr>
        <w:pStyle w:val="26"/>
      </w:pPr>
      <w:r>
        <w:t>第19条  争议</w:t>
      </w:r>
    </w:p>
    <w:p>
      <w:pPr>
        <w:snapToGrid w:val="0"/>
        <w:spacing w:line="360" w:lineRule="auto"/>
        <w:ind w:left="523" w:hanging="523" w:hangingChars="218"/>
        <w:rPr>
          <w:bCs/>
          <w:sz w:val="24"/>
        </w:rPr>
      </w:pPr>
      <w:r>
        <w:rPr>
          <w:rFonts w:hAnsi="宋体"/>
          <w:bCs/>
          <w:sz w:val="24"/>
        </w:rPr>
        <w:t>19</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pPr>
        <w:pStyle w:val="26"/>
      </w:pPr>
      <w:r>
        <w:t>第20条  合同份数</w:t>
      </w:r>
    </w:p>
    <w:p>
      <w:pPr>
        <w:snapToGrid w:val="0"/>
        <w:spacing w:line="360" w:lineRule="auto"/>
        <w:ind w:left="523" w:hanging="523" w:hangingChars="218"/>
        <w:rPr>
          <w:bCs/>
          <w:sz w:val="24"/>
        </w:rPr>
      </w:pPr>
      <w:r>
        <w:rPr>
          <w:rFonts w:hint="eastAsia" w:hAnsi="宋体"/>
          <w:bCs/>
          <w:sz w:val="24"/>
        </w:rPr>
        <w:t>2</w:t>
      </w:r>
      <w:r>
        <w:rPr>
          <w:rFonts w:hAnsi="宋体"/>
          <w:bCs/>
          <w:sz w:val="24"/>
        </w:rPr>
        <w:t>0.</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pPr>
        <w:pStyle w:val="26"/>
      </w:pPr>
      <w:r>
        <w:t xml:space="preserve">第21条  </w:t>
      </w:r>
      <w:r>
        <w:rPr>
          <w:rFonts w:hint="eastAsia"/>
        </w:rPr>
        <w:t>货币单位</w:t>
      </w:r>
    </w:p>
    <w:p>
      <w:pPr>
        <w:snapToGrid w:val="0"/>
        <w:spacing w:line="360" w:lineRule="auto"/>
        <w:ind w:firstLine="480" w:firstLineChars="200"/>
        <w:rPr>
          <w:sz w:val="24"/>
        </w:rPr>
      </w:pPr>
      <w:r>
        <w:rPr>
          <w:rFonts w:hint="eastAsia"/>
          <w:sz w:val="24"/>
        </w:rPr>
        <w:t>如无特别指出，本合同所涉及的货币单位，均为人民币元。</w:t>
      </w:r>
    </w:p>
    <w:p>
      <w:pPr>
        <w:spacing w:line="360" w:lineRule="auto"/>
        <w:rPr>
          <w:sz w:val="24"/>
          <w:u w:val="single"/>
        </w:rPr>
      </w:pPr>
    </w:p>
    <w:p>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pPr>
            <w:spacing w:line="360" w:lineRule="auto"/>
            <w:rPr>
              <w:rFonts w:hAnsi="宋体"/>
              <w:bCs/>
              <w:sz w:val="24"/>
            </w:rPr>
          </w:pPr>
          <w:bookmarkStart w:id="7" w:name="_1550127868"/>
          <w:bookmarkEnd w:id="7"/>
          <w:r>
            <w:rPr>
              <w:rFonts w:hint="eastAsia" w:hAnsi="宋体"/>
              <w:bCs/>
              <w:sz w:val="24"/>
            </w:rPr>
            <w:t>附件1：采购需求</w:t>
          </w:r>
        </w:p>
        <w:p>
          <w:pPr>
            <w:spacing w:line="360" w:lineRule="auto"/>
            <w:rPr>
              <w:rFonts w:hAnsi="宋体"/>
              <w:bCs/>
              <w:sz w:val="24"/>
            </w:rPr>
          </w:pPr>
          <w:r>
            <w:rPr>
              <w:rFonts w:hint="eastAsia" w:hAnsi="宋体"/>
              <w:bCs/>
              <w:sz w:val="24"/>
            </w:rPr>
            <w:t>附件2：中标清单</w:t>
          </w:r>
        </w:p>
        <w:p>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pPr>
        <w:spacing w:line="360" w:lineRule="auto"/>
        <w:rPr>
          <w:rFonts w:ascii="宋体"/>
          <w:sz w:val="24"/>
        </w:rPr>
      </w:pPr>
    </w:p>
    <w:p>
      <w:pPr>
        <w:spacing w:line="360" w:lineRule="auto"/>
      </w:pPr>
      <w:r>
        <w:rPr>
          <w:rFonts w:hint="eastAsia" w:ascii="宋体"/>
          <w:sz w:val="24"/>
        </w:rPr>
        <w:t>(以下无正文)</w:t>
      </w:r>
    </w:p>
    <w:p>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tblPrEx>
          <w:tblCellMar>
            <w:top w:w="0" w:type="dxa"/>
            <w:left w:w="108" w:type="dxa"/>
            <w:bottom w:w="0" w:type="dxa"/>
            <w:right w:w="108" w:type="dxa"/>
          </w:tblCellMar>
        </w:tblPrEx>
        <w:trPr>
          <w:trHeight w:val="1038" w:hRule="atLeast"/>
          <w:jc w:val="center"/>
        </w:trPr>
        <w:tc>
          <w:tcPr>
            <w:tcW w:w="4452" w:type="dxa"/>
          </w:tcPr>
          <w:p>
            <w:pPr>
              <w:spacing w:line="360" w:lineRule="auto"/>
              <w:jc w:val="left"/>
              <w:rPr>
                <w:rFonts w:ascii="宋体" w:hAnsi="宋体"/>
                <w:sz w:val="24"/>
              </w:rPr>
            </w:pPr>
            <w:r>
              <w:rPr>
                <w:rFonts w:hint="eastAsia" w:ascii="宋体" w:hAnsi="宋体"/>
                <w:sz w:val="24"/>
              </w:rPr>
              <w:t>甲方（盖章）：</w:t>
            </w:r>
          </w:p>
          <w:p>
            <w:pPr>
              <w:jc w:val="left"/>
              <w:rPr>
                <w:rFonts w:ascii="宋体" w:hAnsi="宋体"/>
                <w:sz w:val="24"/>
              </w:rPr>
            </w:pPr>
            <w:sdt>
              <w:sdtPr>
                <w:rPr>
                  <w:rStyle w:val="17"/>
                  <w:rFonts w:hint="eastAsia" w:ascii="宋体" w:hAnsi="宋体"/>
                </w:rPr>
                <w:id w:val="38806350"/>
                <w:placeholder>
                  <w:docPart w:val="862E41A9AADB426F96F4758D4B3876BE"/>
                </w:placeholder>
              </w:sdtPr>
              <w:sdtEndPr>
                <w:rPr>
                  <w:rStyle w:val="13"/>
                  <w:rFonts w:hint="eastAsia" w:ascii="宋体" w:hAnsi="宋体"/>
                  <w:sz w:val="21"/>
                  <w:u w:val="none"/>
                </w:rPr>
              </w:sdtEndPr>
              <w:sdtContent>
                <w:r>
                  <w:rPr>
                    <w:rStyle w:val="17"/>
                    <w:rFonts w:hint="eastAsia" w:ascii="宋体" w:hAnsi="宋体"/>
                  </w:rPr>
                  <w:t>中山大学附属肿瘤医院</w:t>
                </w:r>
              </w:sdtContent>
            </w:sdt>
          </w:p>
          <w:p>
            <w:pPr>
              <w:spacing w:line="360" w:lineRule="auto"/>
              <w:jc w:val="left"/>
              <w:rPr>
                <w:rStyle w:val="19"/>
              </w:rPr>
            </w:pPr>
          </w:p>
        </w:tc>
        <w:tc>
          <w:tcPr>
            <w:tcW w:w="4453" w:type="dxa"/>
          </w:tcPr>
          <w:p>
            <w:pPr>
              <w:spacing w:line="360" w:lineRule="auto"/>
              <w:jc w:val="left"/>
              <w:rPr>
                <w:rFonts w:ascii="宋体" w:hAnsi="宋体"/>
                <w:sz w:val="24"/>
              </w:rPr>
            </w:pPr>
            <w:r>
              <w:rPr>
                <w:rFonts w:hint="eastAsia" w:ascii="宋体" w:hAnsi="宋体"/>
                <w:sz w:val="24"/>
              </w:rPr>
              <w:t>乙方（盖章）：</w:t>
            </w:r>
          </w:p>
          <w:p>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pPr>
              <w:adjustRightInd w:val="0"/>
              <w:snapToGrid w:val="0"/>
              <w:spacing w:line="360" w:lineRule="auto"/>
              <w:jc w:val="left"/>
              <w:rPr>
                <w:rFonts w:ascii="宋体" w:hAnsi="宋体"/>
                <w:sz w:val="24"/>
              </w:rPr>
            </w:pPr>
          </w:p>
        </w:tc>
      </w:tr>
      <w:tr>
        <w:tblPrEx>
          <w:tblCellMar>
            <w:top w:w="0" w:type="dxa"/>
            <w:left w:w="108" w:type="dxa"/>
            <w:bottom w:w="0" w:type="dxa"/>
            <w:right w:w="108" w:type="dxa"/>
          </w:tblCellMar>
        </w:tblPrEx>
        <w:trPr>
          <w:trHeight w:val="650" w:hRule="atLeast"/>
          <w:jc w:val="center"/>
        </w:trPr>
        <w:tc>
          <w:tcPr>
            <w:tcW w:w="4452" w:type="dxa"/>
          </w:tcPr>
          <w:p>
            <w:pPr>
              <w:jc w:val="left"/>
              <w:rPr>
                <w:rFonts w:ascii="宋体" w:hAnsi="宋体"/>
                <w:sz w:val="24"/>
              </w:rPr>
            </w:pPr>
            <w:r>
              <w:rPr>
                <w:rFonts w:hint="eastAsia" w:ascii="宋体" w:hAnsi="宋体"/>
                <w:sz w:val="24"/>
              </w:rPr>
              <w:t>法定代表人（签字）:</w:t>
            </w:r>
          </w:p>
        </w:tc>
        <w:tc>
          <w:tcPr>
            <w:tcW w:w="4453" w:type="dxa"/>
          </w:tcPr>
          <w:p>
            <w:pPr>
              <w:jc w:val="left"/>
              <w:rPr>
                <w:rFonts w:ascii="宋体" w:hAnsi="宋体"/>
                <w:sz w:val="24"/>
              </w:rPr>
            </w:pPr>
            <w:r>
              <w:rPr>
                <w:rFonts w:hint="eastAsia" w:ascii="宋体" w:hAnsi="宋体"/>
                <w:sz w:val="24"/>
              </w:rPr>
              <w:t>法定代表人（签字）:</w:t>
            </w:r>
          </w:p>
        </w:tc>
      </w:tr>
      <w:tr>
        <w:tblPrEx>
          <w:tblCellMar>
            <w:top w:w="0" w:type="dxa"/>
            <w:left w:w="108" w:type="dxa"/>
            <w:bottom w:w="0" w:type="dxa"/>
            <w:right w:w="108" w:type="dxa"/>
          </w:tblCellMar>
        </w:tblPrEx>
        <w:trPr>
          <w:trHeight w:val="702" w:hRule="atLeast"/>
          <w:jc w:val="center"/>
        </w:trPr>
        <w:tc>
          <w:tcPr>
            <w:tcW w:w="4452" w:type="dxa"/>
          </w:tcPr>
          <w:p>
            <w:pPr>
              <w:jc w:val="left"/>
              <w:rPr>
                <w:rFonts w:ascii="宋体" w:hAnsi="宋体"/>
                <w:sz w:val="24"/>
              </w:rPr>
            </w:pPr>
            <w:r>
              <w:rPr>
                <w:rFonts w:hint="eastAsia" w:ascii="宋体" w:hAnsi="宋体"/>
                <w:sz w:val="24"/>
              </w:rPr>
              <w:t>签约代表（签字）：</w:t>
            </w:r>
          </w:p>
        </w:tc>
        <w:tc>
          <w:tcPr>
            <w:tcW w:w="4453" w:type="dxa"/>
          </w:tcPr>
          <w:p>
            <w:pPr>
              <w:jc w:val="left"/>
              <w:rPr>
                <w:rFonts w:ascii="宋体" w:hAnsi="宋体"/>
                <w:sz w:val="24"/>
              </w:rPr>
            </w:pPr>
            <w:r>
              <w:rPr>
                <w:rFonts w:hint="eastAsia" w:ascii="宋体" w:hAnsi="宋体"/>
                <w:sz w:val="24"/>
              </w:rPr>
              <w:t>签约代表（签字）：</w:t>
            </w:r>
          </w:p>
        </w:tc>
      </w:tr>
      <w:tr>
        <w:tblPrEx>
          <w:tblCellMar>
            <w:top w:w="0" w:type="dxa"/>
            <w:left w:w="108" w:type="dxa"/>
            <w:bottom w:w="0" w:type="dxa"/>
            <w:right w:w="108" w:type="dxa"/>
          </w:tblCellMar>
        </w:tblPrEx>
        <w:trPr>
          <w:trHeight w:val="631" w:hRule="atLeast"/>
          <w:jc w:val="center"/>
        </w:trPr>
        <w:tc>
          <w:tcPr>
            <w:tcW w:w="4452"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tblPrEx>
          <w:tblCellMar>
            <w:top w:w="0" w:type="dxa"/>
            <w:left w:w="108" w:type="dxa"/>
            <w:bottom w:w="0" w:type="dxa"/>
            <w:right w:w="108" w:type="dxa"/>
          </w:tblCellMar>
        </w:tblPrEx>
        <w:trPr>
          <w:trHeight w:val="631" w:hRule="atLeast"/>
          <w:jc w:val="center"/>
        </w:trPr>
        <w:tc>
          <w:tcPr>
            <w:tcW w:w="4452"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pPr>
        <w:widowControl/>
        <w:jc w:val="left"/>
        <w:rPr>
          <w:rFonts w:ascii="文鼎CS书宋二" w:hAnsi="华文中宋" w:eastAsia="文鼎CS书宋二"/>
          <w:b/>
          <w:bCs/>
          <w:sz w:val="24"/>
        </w:rPr>
      </w:pPr>
    </w:p>
    <w:p>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8"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b/>
              <w:bCs/>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8"/>
    <w:p>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pPr>
        <w:snapToGrid w:val="0"/>
        <w:spacing w:line="360" w:lineRule="auto"/>
        <w:jc w:val="center"/>
        <w:rPr>
          <w:b/>
          <w:sz w:val="28"/>
          <w:szCs w:val="28"/>
        </w:rPr>
      </w:pPr>
      <w:r>
        <w:rPr>
          <w:rFonts w:hint="eastAsia"/>
          <w:b/>
          <w:sz w:val="28"/>
          <w:szCs w:val="28"/>
        </w:rPr>
        <w:t>廉洁购销合同</w:t>
      </w:r>
    </w:p>
    <w:p>
      <w:pPr>
        <w:adjustRightInd w:val="0"/>
        <w:snapToGrid w:val="0"/>
        <w:spacing w:line="360" w:lineRule="auto"/>
        <w:rPr>
          <w:rFonts w:hAnsi="宋体" w:cs="宋体"/>
          <w:szCs w:val="21"/>
        </w:rPr>
      </w:pPr>
      <w:r>
        <w:rPr>
          <w:rFonts w:hint="eastAsia" w:hAnsi="宋体" w:cs="宋体"/>
          <w:szCs w:val="21"/>
        </w:rPr>
        <w:t>甲方（医疗卫生机构）：中山大学附属肿瘤医院</w:t>
      </w:r>
    </w:p>
    <w:p>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p>
    <w:p/>
    <w:p>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pPr>
        <w:spacing w:after="156" w:afterLines="50"/>
        <w:jc w:val="center"/>
        <w:rPr>
          <w:rFonts w:ascii="黑体" w:hAnsi="黑体" w:eastAsia="黑体" w:cs="黑体"/>
          <w:sz w:val="36"/>
          <w:szCs w:val="44"/>
        </w:rPr>
      </w:pPr>
      <w:r>
        <w:rPr>
          <w:rFonts w:hint="eastAsia"/>
          <w:b/>
          <w:sz w:val="28"/>
          <w:szCs w:val="28"/>
        </w:rPr>
        <w:t>第三方合作单位安全管理协议</w:t>
      </w:r>
    </w:p>
    <w:p>
      <w:pPr>
        <w:spacing w:line="360" w:lineRule="auto"/>
        <w:rPr>
          <w:rFonts w:hAnsi="宋体" w:cs="宋体"/>
          <w:szCs w:val="21"/>
        </w:rPr>
      </w:pPr>
      <w:r>
        <w:rPr>
          <w:rFonts w:hint="eastAsia" w:hAnsi="宋体" w:cs="宋体"/>
          <w:szCs w:val="21"/>
        </w:rPr>
        <w:t>发包方(甲方):中山大学附属肿瘤医院</w:t>
      </w:r>
    </w:p>
    <w:p>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spacing w:line="360" w:lineRule="auto"/>
        <w:rPr>
          <w:rFonts w:hAnsi="宋体" w:cs="宋体"/>
          <w:szCs w:val="21"/>
        </w:rPr>
      </w:pPr>
    </w:p>
    <w:p>
      <w:pPr>
        <w:adjustRightInd w:val="0"/>
        <w:snapToGrid w:val="0"/>
        <w:spacing w:line="360" w:lineRule="auto"/>
        <w:rPr>
          <w:rFonts w:hAnsi="宋体" w:cs="宋体"/>
          <w:szCs w:val="21"/>
        </w:rPr>
      </w:pPr>
      <w:r>
        <w:rPr>
          <w:rFonts w:hint="eastAsia" w:hAnsi="宋体" w:cs="宋体"/>
          <w:szCs w:val="21"/>
        </w:rPr>
        <w:t>一、协议内容:</w:t>
      </w:r>
    </w:p>
    <w:p>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pPr>
        <w:adjustRightInd w:val="0"/>
        <w:snapToGrid w:val="0"/>
        <w:spacing w:line="360" w:lineRule="auto"/>
        <w:rPr>
          <w:rFonts w:hAnsi="宋体" w:cs="宋体"/>
          <w:szCs w:val="21"/>
        </w:rPr>
      </w:pPr>
      <w:r>
        <w:rPr>
          <w:rFonts w:hint="eastAsia" w:hAnsi="宋体" w:cs="宋体"/>
          <w:szCs w:val="21"/>
        </w:rPr>
        <w:t>二、甲乙双方履行的安全管理职责:</w:t>
      </w:r>
    </w:p>
    <w:p>
      <w:pPr>
        <w:adjustRightInd w:val="0"/>
        <w:snapToGrid w:val="0"/>
        <w:spacing w:line="360" w:lineRule="auto"/>
        <w:rPr>
          <w:rFonts w:hAnsi="宋体" w:cs="宋体"/>
          <w:szCs w:val="21"/>
        </w:rPr>
      </w:pPr>
      <w:r>
        <w:rPr>
          <w:rFonts w:hint="eastAsia" w:hAnsi="宋体" w:cs="宋体"/>
          <w:szCs w:val="21"/>
        </w:rPr>
        <w:t>1、甲方职责:</w:t>
      </w:r>
    </w:p>
    <w:p>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pPr>
        <w:adjustRightInd w:val="0"/>
        <w:snapToGrid w:val="0"/>
        <w:spacing w:line="360" w:lineRule="auto"/>
        <w:rPr>
          <w:rFonts w:hAnsi="宋体" w:cs="宋体"/>
          <w:szCs w:val="21"/>
        </w:rPr>
      </w:pPr>
      <w:r>
        <w:rPr>
          <w:rFonts w:hint="eastAsia" w:hAnsi="宋体" w:cs="宋体"/>
          <w:szCs w:val="21"/>
        </w:rPr>
        <w:t>2、乙方职责:</w:t>
      </w:r>
    </w:p>
    <w:p>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pPr>
        <w:adjustRightInd w:val="0"/>
        <w:snapToGrid w:val="0"/>
        <w:spacing w:line="360" w:lineRule="auto"/>
        <w:rPr>
          <w:rFonts w:hAnsi="宋体" w:cs="宋体"/>
          <w:szCs w:val="21"/>
        </w:rPr>
      </w:pPr>
      <w:r>
        <w:rPr>
          <w:rFonts w:hint="eastAsia" w:hAnsi="宋体" w:cs="宋体"/>
          <w:szCs w:val="21"/>
        </w:rPr>
        <w:t>2.12乙方严禁将承包项目层层转包。</w:t>
      </w:r>
    </w:p>
    <w:p>
      <w:pPr>
        <w:adjustRightInd w:val="0"/>
        <w:snapToGrid w:val="0"/>
        <w:spacing w:line="360" w:lineRule="auto"/>
        <w:rPr>
          <w:rFonts w:hAnsi="宋体" w:cs="宋体"/>
          <w:szCs w:val="21"/>
        </w:rPr>
      </w:pPr>
      <w:r>
        <w:rPr>
          <w:rFonts w:hint="eastAsia" w:hAnsi="宋体" w:cs="宋体"/>
          <w:szCs w:val="21"/>
        </w:rPr>
        <w:t>三、甲乙双方事故责任划分及处置:</w:t>
      </w:r>
    </w:p>
    <w:p>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pPr>
        <w:adjustRightInd w:val="0"/>
        <w:snapToGrid w:val="0"/>
        <w:spacing w:line="360" w:lineRule="auto"/>
        <w:rPr>
          <w:rFonts w:hAnsi="宋体" w:cs="宋体"/>
          <w:szCs w:val="21"/>
        </w:rPr>
      </w:pPr>
      <w:r>
        <w:rPr>
          <w:rFonts w:hint="eastAsia" w:hAnsi="宋体" w:cs="宋体"/>
          <w:szCs w:val="21"/>
        </w:rPr>
        <w:t>六、本协议双方签字或盖章后生效。</w:t>
      </w:r>
    </w:p>
    <w:p>
      <w:pPr>
        <w:spacing w:line="360" w:lineRule="auto"/>
        <w:rPr>
          <w:rFonts w:hAnsi="宋体" w:cs="宋体"/>
          <w:szCs w:val="21"/>
        </w:rPr>
      </w:pPr>
    </w:p>
    <w:p>
      <w:pPr>
        <w:spacing w:line="360" w:lineRule="auto"/>
        <w:rPr>
          <w:rFonts w:hAnsi="宋体" w:cs="宋体"/>
          <w:szCs w:val="21"/>
        </w:rPr>
      </w:pP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日期：202</w:t>
      </w:r>
      <w:r>
        <w:rPr>
          <w:rFonts w:hint="eastAsia" w:hAnsi="宋体" w:cs="宋体"/>
          <w:b/>
          <w:szCs w:val="21"/>
          <w:lang w:val="en-US" w:eastAsia="zh-CN"/>
        </w:rPr>
        <w:t>4</w:t>
      </w:r>
      <w:r>
        <w:rPr>
          <w:rFonts w:hint="eastAsia" w:hAnsi="宋体" w:cs="宋体"/>
          <w:b/>
          <w:szCs w:val="21"/>
        </w:rPr>
        <w:t>年  月  日</w:t>
      </w:r>
      <w:r>
        <w:rPr>
          <w:rFonts w:hint="eastAsia"/>
          <w:sz w:val="24"/>
        </w:rPr>
        <w:br w:type="page"/>
      </w:r>
    </w:p>
    <w:p>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pPr>
        <w:jc w:val="center"/>
        <w:rPr>
          <w:rFonts w:ascii="黑体" w:hAnsi="黑体" w:eastAsia="黑体"/>
          <w:b/>
          <w:sz w:val="44"/>
        </w:rPr>
      </w:pPr>
      <w:r>
        <w:rPr>
          <w:rFonts w:hint="eastAsia" w:ascii="黑体" w:hAnsi="黑体" w:eastAsia="黑体"/>
          <w:b/>
          <w:sz w:val="44"/>
        </w:rPr>
        <w:t>安全文明施工承诺书</w:t>
      </w:r>
    </w:p>
    <w:p>
      <w:pPr>
        <w:jc w:val="center"/>
        <w:rPr>
          <w:rFonts w:ascii="黑体" w:hAnsi="黑体" w:eastAsia="黑体"/>
          <w:b/>
        </w:rPr>
      </w:pPr>
    </w:p>
    <w:p>
      <w:pPr>
        <w:jc w:val="center"/>
        <w:rPr>
          <w:rFonts w:ascii="黑体" w:hAnsi="黑体" w:eastAsia="黑体"/>
          <w:b/>
        </w:rPr>
      </w:pPr>
    </w:p>
    <w:p>
      <w:pPr>
        <w:spacing w:line="360" w:lineRule="auto"/>
        <w:rPr>
          <w:rFonts w:hAnsi="宋体"/>
          <w:sz w:val="24"/>
        </w:rPr>
      </w:pPr>
    </w:p>
    <w:p>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1"/>
        </w:numPr>
        <w:spacing w:line="360" w:lineRule="auto"/>
        <w:rPr>
          <w:rFonts w:hAnsi="宋体"/>
          <w:b/>
          <w:sz w:val="24"/>
        </w:rPr>
      </w:pPr>
      <w:r>
        <w:rPr>
          <w:rFonts w:hint="eastAsia" w:hAnsi="宋体"/>
          <w:b/>
          <w:sz w:val="24"/>
        </w:rPr>
        <w:t>安全文明施工总体要求</w:t>
      </w:r>
    </w:p>
    <w:p>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pPr>
        <w:numPr>
          <w:ilvl w:val="0"/>
          <w:numId w:val="11"/>
        </w:numPr>
        <w:spacing w:line="360" w:lineRule="auto"/>
        <w:rPr>
          <w:rFonts w:hAnsi="宋体"/>
          <w:b/>
          <w:sz w:val="24"/>
        </w:rPr>
      </w:pPr>
      <w:r>
        <w:rPr>
          <w:rFonts w:hint="eastAsia" w:hAnsi="宋体"/>
          <w:b/>
          <w:sz w:val="24"/>
        </w:rPr>
        <w:t>项目基本情况</w:t>
      </w:r>
    </w:p>
    <w:p>
      <w:pPr>
        <w:spacing w:line="360" w:lineRule="auto"/>
        <w:ind w:firstLine="465"/>
        <w:rPr>
          <w:rFonts w:hAnsi="宋体"/>
          <w:sz w:val="24"/>
        </w:rPr>
      </w:pPr>
      <w:r>
        <w:rPr>
          <w:rFonts w:hint="eastAsia" w:hAnsi="宋体"/>
          <w:sz w:val="24"/>
        </w:rPr>
        <w:t>详见合同正文。</w:t>
      </w:r>
    </w:p>
    <w:p>
      <w:pPr>
        <w:numPr>
          <w:ilvl w:val="0"/>
          <w:numId w:val="12"/>
        </w:numPr>
        <w:spacing w:line="360" w:lineRule="auto"/>
        <w:rPr>
          <w:rFonts w:hAnsi="宋体"/>
          <w:b/>
          <w:sz w:val="24"/>
        </w:rPr>
      </w:pPr>
      <w:r>
        <w:rPr>
          <w:rFonts w:hint="eastAsia" w:hAnsi="宋体"/>
          <w:b/>
          <w:sz w:val="24"/>
        </w:rPr>
        <w:t>安全文明施工保证金</w:t>
      </w:r>
    </w:p>
    <w:p>
      <w:pPr>
        <w:numPr>
          <w:ilvl w:val="0"/>
          <w:numId w:val="13"/>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pPr>
        <w:numPr>
          <w:ilvl w:val="0"/>
          <w:numId w:val="13"/>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pPr>
        <w:numPr>
          <w:ilvl w:val="0"/>
          <w:numId w:val="12"/>
        </w:numPr>
        <w:spacing w:line="360" w:lineRule="auto"/>
        <w:rPr>
          <w:rFonts w:hAnsi="宋体"/>
          <w:b/>
          <w:sz w:val="24"/>
        </w:rPr>
      </w:pPr>
      <w:r>
        <w:rPr>
          <w:rFonts w:hint="eastAsia" w:hAnsi="宋体"/>
          <w:b/>
          <w:sz w:val="24"/>
        </w:rPr>
        <w:t>施工垃圾清运</w:t>
      </w:r>
    </w:p>
    <w:p>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pPr>
        <w:numPr>
          <w:ilvl w:val="0"/>
          <w:numId w:val="14"/>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pPr>
        <w:numPr>
          <w:ilvl w:val="0"/>
          <w:numId w:val="14"/>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pPr>
        <w:numPr>
          <w:ilvl w:val="0"/>
          <w:numId w:val="14"/>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pPr>
        <w:numPr>
          <w:ilvl w:val="0"/>
          <w:numId w:val="15"/>
        </w:numPr>
        <w:spacing w:line="360" w:lineRule="auto"/>
        <w:rPr>
          <w:rFonts w:hAnsi="宋体"/>
          <w:b/>
          <w:sz w:val="24"/>
        </w:rPr>
      </w:pPr>
      <w:r>
        <w:rPr>
          <w:rFonts w:hint="eastAsia" w:hAnsi="宋体"/>
          <w:b/>
          <w:sz w:val="24"/>
        </w:rPr>
        <w:t>电梯安全使用与管理</w:t>
      </w:r>
    </w:p>
    <w:p>
      <w:pPr>
        <w:numPr>
          <w:ilvl w:val="0"/>
          <w:numId w:val="16"/>
        </w:numPr>
        <w:spacing w:line="360" w:lineRule="auto"/>
        <w:ind w:firstLine="424" w:firstLineChars="177"/>
        <w:rPr>
          <w:rFonts w:hAnsi="宋体"/>
          <w:sz w:val="24"/>
        </w:rPr>
      </w:pPr>
      <w:r>
        <w:rPr>
          <w:rFonts w:hint="eastAsia" w:hAnsi="宋体"/>
          <w:sz w:val="24"/>
        </w:rPr>
        <w:t>施工材料、垃圾只能使用货梯搬运，不得进入洁净梯及工作梯。</w:t>
      </w:r>
    </w:p>
    <w:p>
      <w:pPr>
        <w:numPr>
          <w:ilvl w:val="0"/>
          <w:numId w:val="16"/>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pPr>
        <w:numPr>
          <w:ilvl w:val="0"/>
          <w:numId w:val="16"/>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pPr>
        <w:numPr>
          <w:ilvl w:val="0"/>
          <w:numId w:val="16"/>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pPr>
        <w:numPr>
          <w:ilvl w:val="0"/>
          <w:numId w:val="17"/>
        </w:numPr>
        <w:spacing w:line="360" w:lineRule="auto"/>
        <w:rPr>
          <w:rFonts w:hAnsi="宋体"/>
          <w:b/>
          <w:sz w:val="24"/>
        </w:rPr>
      </w:pPr>
      <w:r>
        <w:rPr>
          <w:rFonts w:hint="eastAsia" w:hAnsi="宋体"/>
          <w:b/>
          <w:sz w:val="24"/>
        </w:rPr>
        <w:t>水电的安全使用与管理</w:t>
      </w:r>
    </w:p>
    <w:p>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pPr>
        <w:spacing w:line="360" w:lineRule="auto"/>
        <w:ind w:firstLine="480" w:firstLineChars="200"/>
        <w:rPr>
          <w:rFonts w:hAnsi="宋体"/>
          <w:sz w:val="24"/>
        </w:rPr>
      </w:pPr>
      <w:r>
        <w:rPr>
          <w:rFonts w:hint="eastAsia" w:hAnsi="宋体"/>
          <w:sz w:val="24"/>
        </w:rPr>
        <w:t>6、大型施工项目必须接驳临时用电，与正常医疗工作用电严格分开。</w:t>
      </w:r>
    </w:p>
    <w:p>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pPr>
        <w:spacing w:line="360" w:lineRule="auto"/>
        <w:rPr>
          <w:rFonts w:hAnsi="宋体"/>
          <w:b/>
          <w:sz w:val="24"/>
        </w:rPr>
      </w:pPr>
      <w:r>
        <w:rPr>
          <w:rFonts w:hint="eastAsia" w:hAnsi="宋体"/>
          <w:b/>
          <w:sz w:val="24"/>
        </w:rPr>
        <w:t>七、环境与人员管理</w:t>
      </w:r>
    </w:p>
    <w:p>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pPr>
        <w:spacing w:line="360" w:lineRule="auto"/>
        <w:rPr>
          <w:rFonts w:hAnsi="宋体"/>
          <w:b/>
          <w:sz w:val="24"/>
        </w:rPr>
      </w:pPr>
      <w:r>
        <w:rPr>
          <w:rFonts w:hint="eastAsia" w:hAnsi="宋体"/>
          <w:b/>
          <w:sz w:val="24"/>
        </w:rPr>
        <w:t>八、安全与保卫</w:t>
      </w:r>
    </w:p>
    <w:p>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pPr>
        <w:spacing w:line="360" w:lineRule="auto"/>
        <w:rPr>
          <w:rFonts w:hAnsi="宋体"/>
          <w:b/>
          <w:sz w:val="24"/>
        </w:rPr>
      </w:pPr>
      <w:r>
        <w:rPr>
          <w:rFonts w:hint="eastAsia" w:hAnsi="宋体"/>
          <w:b/>
          <w:sz w:val="24"/>
        </w:rPr>
        <w:t>九、施工责任</w:t>
      </w:r>
    </w:p>
    <w:p>
      <w:pPr>
        <w:numPr>
          <w:ilvl w:val="0"/>
          <w:numId w:val="18"/>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pPr>
        <w:numPr>
          <w:ilvl w:val="0"/>
          <w:numId w:val="18"/>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18"/>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pPr>
        <w:numPr>
          <w:ilvl w:val="0"/>
          <w:numId w:val="18"/>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widowControl/>
        <w:jc w:val="left"/>
        <w:rPr>
          <w:rFonts w:hAnsi="宋体"/>
          <w:sz w:val="24"/>
        </w:rPr>
      </w:pPr>
      <w:r>
        <w:rPr>
          <w:rFonts w:hAnsi="宋体"/>
          <w:sz w:val="24"/>
        </w:rPr>
        <w:br w:type="page"/>
      </w:r>
    </w:p>
    <w:p>
      <w:pPr>
        <w:spacing w:line="360" w:lineRule="auto"/>
        <w:rPr>
          <w:rFonts w:hAnsi="宋体"/>
          <w:sz w:val="24"/>
        </w:rPr>
      </w:pPr>
    </w:p>
    <w:p>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800</w:t>
            </w:r>
          </w:p>
        </w:tc>
      </w:tr>
    </w:tbl>
    <w:p>
      <w:pPr>
        <w:jc w:val="center"/>
      </w:pPr>
    </w:p>
    <w:p>
      <w:pPr>
        <w:pStyle w:val="4"/>
      </w:pPr>
    </w:p>
    <w:p>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pPr>
            <w:widowControl/>
            <w:jc w:val="left"/>
            <w:outlineLvl w:val="1"/>
            <w:rPr>
              <w:rStyle w:val="20"/>
            </w:rPr>
          </w:pPr>
          <w:bookmarkStart w:id="9" w:name="_Hlk140050422"/>
          <w:r>
            <w:rPr>
              <w:rFonts w:hint="eastAsia" w:ascii="文鼎CS书宋二" w:hAnsi="华文中宋" w:eastAsia="文鼎CS书宋二"/>
              <w:b/>
              <w:bCs/>
              <w:sz w:val="24"/>
            </w:rPr>
            <w:t>附件：</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bookmarkEnd w:id="9"/>
    <w:p>
      <w:pPr>
        <w:widowControl/>
        <w:jc w:val="left"/>
        <w:rPr>
          <w:rFonts w:ascii="文鼎CS书宋二" w:hAnsi="华文中宋" w:eastAsia="文鼎CS书宋二"/>
          <w:b/>
          <w:bCs/>
          <w:sz w:val="24"/>
        </w:rPr>
      </w:pPr>
      <w:r>
        <w:rPr>
          <w:rFonts w:ascii="文鼎CS书宋二" w:hAnsi="华文中宋" w:eastAsia="文鼎CS书宋二"/>
          <w:b/>
          <w:bCs/>
          <w:sz w:val="24"/>
        </w:rPr>
        <w:br w:type="page"/>
      </w:r>
    </w:p>
    <w:p>
      <w:pPr>
        <w:spacing w:before="156" w:beforeLines="50"/>
        <w:rPr>
          <w:rFonts w:hAnsi="宋体" w:cs="宋体"/>
          <w:b/>
        </w:rPr>
      </w:pPr>
    </w:p>
    <w:p/>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中山大学附属肿瘤医院总务处物管科机电施工类合同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F210B7E"/>
    <w:multiLevelType w:val="multilevel"/>
    <w:tmpl w:val="3F210B7E"/>
    <w:lvl w:ilvl="0" w:tentative="0">
      <w:start w:val="1"/>
      <w:numFmt w:val="decimal"/>
      <w:lvlText w:val="（%1）"/>
      <w:lvlJc w:val="left"/>
      <w:pPr>
        <w:tabs>
          <w:tab w:val="left" w:pos="1805"/>
        </w:tabs>
        <w:ind w:left="1805" w:hanging="124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 w:numId="9">
    <w:abstractNumId w:val="3"/>
  </w:num>
  <w:num w:numId="10">
    <w:abstractNumId w:val="16"/>
  </w:num>
  <w:num w:numId="11">
    <w:abstractNumId w:val="8"/>
  </w:num>
  <w:num w:numId="12">
    <w:abstractNumId w:val="9"/>
  </w:num>
  <w:num w:numId="13">
    <w:abstractNumId w:val="11"/>
  </w:num>
  <w:num w:numId="14">
    <w:abstractNumId w:val="10"/>
  </w:num>
  <w:num w:numId="15">
    <w:abstractNumId w:val="12"/>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DZhMmIzMDNkYTZiYzdhYjJlNTczOThkZmQ3MjAifQ=="/>
  </w:docVars>
  <w:rsids>
    <w:rsidRoot w:val="001455AE"/>
    <w:rsid w:val="000133E2"/>
    <w:rsid w:val="00020293"/>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3F3"/>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B3FDE"/>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36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1E7B7693"/>
    <w:rsid w:val="1E99449E"/>
    <w:rsid w:val="353C1C25"/>
    <w:rsid w:val="4BD82398"/>
    <w:rsid w:val="575E1C6D"/>
    <w:rsid w:val="5A17083D"/>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qFormat/>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7F7F7F"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7F7F7F"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pPr>
            <w:pStyle w:val="51"/>
          </w:pPr>
          <w:r>
            <w:rPr>
              <w:rStyle w:val="6"/>
              <w:rFonts w:hint="eastAsia" w:hAnsi="宋体"/>
              <w:sz w:val="24"/>
              <w:szCs w:val="32"/>
              <w:u w:val="single"/>
            </w:rPr>
            <w:t>单击此处输入乙方联系人</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pPr>
            <w:pStyle w:val="60"/>
          </w:pPr>
          <w:r>
            <w:rPr>
              <w:rStyle w:val="6"/>
              <w:rFonts w:hint="eastAsia"/>
              <w:color w:val="FF0000"/>
              <w:sz w:val="24"/>
              <w:u w:val="single"/>
            </w:rPr>
            <w:t>输入日期或结束条件（如预验收合格之日）</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pPr>
            <w:pStyle w:val="21"/>
          </w:pPr>
          <w:r>
            <w:rPr>
              <w:rStyle w:val="6"/>
              <w:rFonts w:hint="eastAsia"/>
            </w:rPr>
            <w:t>单击或点击此处输入文字。</w:t>
          </w:r>
        </w:p>
      </w:docPartBody>
    </w:docPart>
    <w:docPart>
      <w:docPartPr>
        <w:name w:val="506AC4DA995B4615B19DB09ECFD172A0"/>
        <w:style w:val=""/>
        <w:category>
          <w:name w:val="常规"/>
          <w:gallery w:val="placeholder"/>
        </w:category>
        <w:types>
          <w:type w:val="bbPlcHdr"/>
        </w:types>
        <w:behaviors>
          <w:behavior w:val="content"/>
        </w:behaviors>
        <w:description w:val=""/>
        <w:guid w:val="{6EC74298-A926-42DC-8C3A-8B6AC4EBA38C}"/>
      </w:docPartPr>
      <w:docPartBody>
        <w:p>
          <w:pPr>
            <w:pStyle w:val="22"/>
          </w:pPr>
          <w:r>
            <w:rPr>
              <w:rStyle w:val="6"/>
              <w:rFonts w:hint="eastAsia" w:hAnsi="宋体"/>
              <w:color w:val="FF0000"/>
              <w:sz w:val="24"/>
              <w:u w:val="single"/>
            </w:rPr>
            <w:t>单击此处输入文字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pPr>
            <w:pStyle w:val="77"/>
          </w:pPr>
          <w:r>
            <w:rPr>
              <w:rStyle w:val="6"/>
              <w:color w:val="FF0000"/>
              <w:sz w:val="24"/>
              <w:szCs w:val="32"/>
              <w:u w:val="single"/>
            </w:rPr>
            <w:t>20</w:t>
          </w:r>
        </w:p>
      </w:docPartBody>
    </w:docPart>
    <w:docPart>
      <w:docPartPr>
        <w:name w:val="BC7A9748B62F43C8A514AAE34B2767D0"/>
        <w:style w:val=""/>
        <w:category>
          <w:name w:val="常规"/>
          <w:gallery w:val="placeholder"/>
        </w:category>
        <w:types>
          <w:type w:val="bbPlcHdr"/>
        </w:types>
        <w:behaviors>
          <w:behavior w:val="content"/>
        </w:behaviors>
        <w:description w:val=""/>
        <w:guid w:val="{E48DF6BA-9D1A-41A6-BA0C-49256A2D971D}"/>
      </w:docPartPr>
      <w:docPartBody>
        <w:p>
          <w:pPr>
            <w:pStyle w:val="64"/>
          </w:pPr>
          <w:r>
            <w:rPr>
              <w:rStyle w:val="6"/>
              <w:rFonts w:hint="eastAsia"/>
              <w:color w:val="FF0000"/>
              <w:sz w:val="24"/>
              <w:szCs w:val="32"/>
              <w:u w:val="single"/>
            </w:rPr>
            <w:t>需要/不需要</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pPr>
            <w:pStyle w:val="39"/>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pPr>
            <w:pStyle w:val="41"/>
          </w:pPr>
          <w:r>
            <w:rPr>
              <w:rStyle w:val="6"/>
            </w:rPr>
            <w:t>单击或点击此处输入文字。</w:t>
          </w:r>
        </w:p>
      </w:docPartBody>
    </w:docPart>
    <w:docPart>
      <w:docPartPr>
        <w:name w:val="219227CFBA3B4177BE7B1656110AD3CA"/>
        <w:style w:val=""/>
        <w:category>
          <w:name w:val="常规"/>
          <w:gallery w:val="placeholder"/>
        </w:category>
        <w:types>
          <w:type w:val="bbPlcHdr"/>
        </w:types>
        <w:behaviors>
          <w:behavior w:val="content"/>
        </w:behaviors>
        <w:description w:val=""/>
        <w:guid w:val="{2B633714-08EE-492A-8D2F-17E935EAC920}"/>
      </w:docPartPr>
      <w:docPartBody>
        <w:p>
          <w:pPr>
            <w:pStyle w:val="105"/>
          </w:pPr>
          <w:r>
            <w:rPr>
              <w:rStyle w:val="6"/>
              <w:color w:val="FF0000"/>
              <w:sz w:val="24"/>
              <w:u w:val="single"/>
            </w:rPr>
            <w:t>单击或点击此处输入文字</w:t>
          </w:r>
        </w:p>
      </w:docPartBody>
    </w:docPart>
    <w:docPart>
      <w:docPartPr>
        <w:name w:val="{c9b0a814-887b-4fd5-9319-f69613f16566}"/>
        <w:style w:val=""/>
        <w:category>
          <w:name w:val="常规"/>
          <w:gallery w:val="placeholder"/>
        </w:category>
        <w:types>
          <w:type w:val="bbPlcHdr"/>
        </w:types>
        <w:behaviors>
          <w:behavior w:val="content"/>
        </w:behaviors>
        <w:description w:val=""/>
        <w:guid w:val="{c9b0a814-887b-4fd5-9319-f69613f16566}"/>
      </w:docPartPr>
      <w:docPartBody>
        <w:p>
          <w:pPr>
            <w:pStyle w:val="107"/>
            <w:spacing w:after="156"/>
          </w:pPr>
          <w:r>
            <w:rPr>
              <w:rStyle w:val="6"/>
              <w:rFonts w:hint="eastAsia"/>
              <w:color w:val="FF0000"/>
              <w:u w:val="single"/>
            </w:rPr>
            <w:t>点击输入项目名称</w:t>
          </w:r>
        </w:p>
      </w:docPartBody>
    </w:docPart>
    <w:docPart>
      <w:docPartPr>
        <w:name w:val="{992d13d0-3f52-4a8e-b2af-ecfb8aefd9e4}"/>
        <w:style w:val=""/>
        <w:category>
          <w:name w:val="常规"/>
          <w:gallery w:val="placeholder"/>
        </w:category>
        <w:types>
          <w:type w:val="bbPlcHdr"/>
        </w:types>
        <w:behaviors>
          <w:behavior w:val="content"/>
        </w:behaviors>
        <w:description w:val=""/>
        <w:guid w:val="{992d13d0-3f52-4a8e-b2af-ecfb8aefd9e4}"/>
      </w:docPartPr>
      <w:docPartBody>
        <w:p>
          <w:pPr>
            <w:pStyle w:val="107"/>
            <w:spacing w:after="156"/>
          </w:pPr>
          <w:r>
            <w:rPr>
              <w:rStyle w:val="6"/>
              <w:rFonts w:hint="eastAsia"/>
              <w:color w:val="FF0000"/>
              <w:u w:val="single"/>
            </w:rPr>
            <w:t>点击输入项目名称</w:t>
          </w:r>
        </w:p>
      </w:docPartBody>
    </w:docPart>
    <w:docPart>
      <w:docPartPr>
        <w:name w:val="{0b4a7c9c-ca40-4dfc-bea2-ba1d39bd4951}"/>
        <w:style w:val=""/>
        <w:category>
          <w:name w:val="常规"/>
          <w:gallery w:val="placeholder"/>
        </w:category>
        <w:types>
          <w:type w:val="bbPlcHdr"/>
        </w:types>
        <w:behaviors>
          <w:behavior w:val="content"/>
        </w:behaviors>
        <w:description w:val=""/>
        <w:guid w:val="{0b4a7c9c-ca40-4dfc-bea2-ba1d39bd4951}"/>
      </w:docPartPr>
      <w:docPartBody>
        <w:p>
          <w:pPr>
            <w:pStyle w:val="108"/>
            <w:spacing w:after="156"/>
            <w:ind w:firstLine="480"/>
          </w:pPr>
          <w:r>
            <w:rPr>
              <w:rStyle w:val="6"/>
              <w:rFonts w:hint="eastAsia"/>
              <w:color w:val="FF0000"/>
              <w:u w:val="single"/>
            </w:rPr>
            <w:t>输入承包范围</w:t>
          </w:r>
        </w:p>
      </w:docPartBody>
    </w:docPart>
    <w:docPart>
      <w:docPartPr>
        <w:name w:val="{197255da-0c55-44fb-8189-c66ca5f2e8ab}"/>
        <w:style w:val=""/>
        <w:category>
          <w:name w:val="常规"/>
          <w:gallery w:val="placeholder"/>
        </w:category>
        <w:types>
          <w:type w:val="bbPlcHdr"/>
        </w:types>
        <w:behaviors>
          <w:behavior w:val="content"/>
        </w:behaviors>
        <w:description w:val=""/>
        <w:guid w:val="{197255da-0c55-44fb-8189-c66ca5f2e8ab}"/>
      </w:docPartPr>
      <w:docPartBody>
        <w:p>
          <w:pPr>
            <w:pStyle w:val="109"/>
            <w:spacing w:after="156"/>
            <w:ind w:firstLine="480"/>
          </w:pPr>
          <w:r>
            <w:rPr>
              <w:rStyle w:val="6"/>
              <w:rFonts w:hint="eastAsia"/>
              <w:color w:val="FF0000"/>
              <w:u w:val="single"/>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2F0557"/>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811FD"/>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7F7F7F"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7F7F7F"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12A5236E37624C3096DBED02CA40E69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rPr>
  </w:style>
  <w:style w:type="paragraph" w:customStyle="1" w:styleId="108">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09">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27</Pages>
  <Words>14951</Words>
  <Characters>15424</Characters>
  <Lines>117</Lines>
  <Paragraphs>33</Paragraphs>
  <TotalTime>7</TotalTime>
  <ScaleCrop>false</ScaleCrop>
  <LinksUpToDate>false</LinksUpToDate>
  <CharactersWithSpaces>15814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Administrator</cp:lastModifiedBy>
  <dcterms:modified xsi:type="dcterms:W3CDTF">2024-06-21T04:49:58Z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ECFE5E98B9D44F13B36628E47E1237F4</vt:lpwstr>
  </property>
</Properties>
</file>