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B677">
      <w:pPr>
        <w:autoSpaceDE w:val="0"/>
        <w:autoSpaceDN w:val="0"/>
        <w:adjustRightInd w:val="0"/>
        <w:snapToGrid w:val="0"/>
        <w:spacing w:line="360" w:lineRule="auto"/>
        <w:ind w:right="34"/>
        <w:jc w:val="center"/>
        <w:rPr>
          <w:rFonts w:hint="eastAsia"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评分标准</w:t>
      </w:r>
    </w:p>
    <w:p w14:paraId="4F29CADC">
      <w:pPr>
        <w:autoSpaceDE w:val="0"/>
        <w:autoSpaceDN w:val="0"/>
        <w:adjustRightInd w:val="0"/>
        <w:snapToGrid w:val="0"/>
        <w:spacing w:line="360" w:lineRule="auto"/>
        <w:ind w:right="34"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价格分</w:t>
      </w:r>
      <w:r>
        <w:rPr>
          <w:rFonts w:hint="eastAsia" w:ascii="宋体" w:hAnsi="宋体" w:cs="Arial"/>
          <w:sz w:val="24"/>
        </w:rPr>
        <w:t>总分100，包含两部分，第一部分为水泵、冷却塔维保价格，分值为</w:t>
      </w:r>
      <w:r>
        <w:rPr>
          <w:rFonts w:hint="eastAsia" w:ascii="宋体" w:hAnsi="宋体" w:cs="Arial"/>
          <w:sz w:val="24"/>
          <w:lang w:val="en-US" w:eastAsia="zh-CN"/>
        </w:rPr>
        <w:t>80</w:t>
      </w:r>
      <w:r>
        <w:rPr>
          <w:rFonts w:hint="eastAsia" w:ascii="宋体" w:hAnsi="宋体" w:cs="Arial"/>
          <w:sz w:val="24"/>
        </w:rPr>
        <w:t>分；第二部分为5</w:t>
      </w:r>
      <w:r>
        <w:rPr>
          <w:rFonts w:ascii="宋体" w:hAnsi="宋体" w:cs="Arial"/>
          <w:sz w:val="24"/>
        </w:rPr>
        <w:t>00</w:t>
      </w:r>
      <w:r>
        <w:rPr>
          <w:rFonts w:hint="eastAsia" w:ascii="宋体" w:hAnsi="宋体" w:cs="Arial"/>
          <w:sz w:val="24"/>
        </w:rPr>
        <w:t>元以上配件</w:t>
      </w:r>
      <w:r>
        <w:rPr>
          <w:rFonts w:hint="eastAsia" w:ascii="宋体" w:hAnsi="宋体" w:cs="Arial"/>
          <w:sz w:val="24"/>
          <w:lang w:val="en-US" w:eastAsia="zh-CN"/>
        </w:rPr>
        <w:t>报下浮率</w:t>
      </w:r>
      <w:r>
        <w:rPr>
          <w:rFonts w:hint="eastAsia" w:ascii="宋体" w:hAnsi="宋体" w:cs="Arial"/>
          <w:sz w:val="24"/>
        </w:rPr>
        <w:t>，分值为</w:t>
      </w:r>
      <w:r>
        <w:rPr>
          <w:rFonts w:hint="eastAsia" w:ascii="宋体" w:hAnsi="宋体" w:cs="Arial"/>
          <w:sz w:val="24"/>
          <w:lang w:val="en-US" w:eastAsia="zh-CN"/>
        </w:rPr>
        <w:t>20</w:t>
      </w:r>
      <w:r>
        <w:rPr>
          <w:rFonts w:hint="eastAsia" w:ascii="宋体" w:hAnsi="宋体" w:cs="Arial"/>
          <w:sz w:val="24"/>
        </w:rPr>
        <w:t>分。</w:t>
      </w:r>
    </w:p>
    <w:p w14:paraId="1B7E832E">
      <w:pPr>
        <w:autoSpaceDE w:val="0"/>
        <w:autoSpaceDN w:val="0"/>
        <w:adjustRightInd w:val="0"/>
        <w:snapToGrid w:val="0"/>
        <w:spacing w:line="360" w:lineRule="auto"/>
        <w:ind w:right="34"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（1）水泵、冷却塔维保价格评分：价格评分采用低价优先法计算，即通过初审且评标价最低者的评标价为评标基准价，其价格分为满分</w:t>
      </w:r>
      <w:r>
        <w:rPr>
          <w:rFonts w:hint="eastAsia" w:ascii="宋体" w:hAnsi="宋体" w:cs="Arial"/>
          <w:sz w:val="24"/>
          <w:lang w:val="en-US" w:eastAsia="zh-CN"/>
        </w:rPr>
        <w:t>80</w:t>
      </w:r>
      <w:r>
        <w:rPr>
          <w:rFonts w:hint="eastAsia" w:ascii="宋体" w:hAnsi="宋体" w:cs="Arial"/>
          <w:sz w:val="24"/>
        </w:rPr>
        <w:t xml:space="preserve"> 分，其他各有效投标人的价格评分统一按照下列公式计算：</w:t>
      </w:r>
    </w:p>
    <w:p w14:paraId="208D26A4">
      <w:pPr>
        <w:autoSpaceDE w:val="0"/>
        <w:autoSpaceDN w:val="0"/>
        <w:adjustRightInd w:val="0"/>
        <w:snapToGrid w:val="0"/>
        <w:spacing w:line="360" w:lineRule="auto"/>
        <w:ind w:right="34" w:firstLine="480" w:firstLineChars="20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</w:rPr>
        <w:t>水泵、冷却塔维保价格评分＝（评标基准价÷评标价）×</w:t>
      </w:r>
      <w:r>
        <w:rPr>
          <w:rFonts w:hint="eastAsia" w:ascii="宋体" w:hAnsi="宋体" w:cs="Arial"/>
          <w:sz w:val="24"/>
          <w:lang w:val="en-US" w:eastAsia="zh-CN"/>
        </w:rPr>
        <w:t>80%</w:t>
      </w:r>
    </w:p>
    <w:p w14:paraId="1F7D069F">
      <w:pPr>
        <w:autoSpaceDE w:val="0"/>
        <w:autoSpaceDN w:val="0"/>
        <w:adjustRightInd w:val="0"/>
        <w:snapToGrid w:val="0"/>
        <w:spacing w:line="360" w:lineRule="auto"/>
        <w:ind w:right="34"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（2）500元以上配件价格评分：各有效投标人的评标价中，取（1-投标下浮率）的最低值作为基准价，其价格分为满分</w:t>
      </w:r>
      <w:r>
        <w:rPr>
          <w:rFonts w:hint="eastAsia" w:ascii="宋体" w:hAnsi="宋体" w:cs="Arial"/>
          <w:sz w:val="24"/>
          <w:lang w:val="en-US" w:eastAsia="zh-CN"/>
        </w:rPr>
        <w:t>20</w:t>
      </w:r>
      <w:r>
        <w:rPr>
          <w:rFonts w:hint="eastAsia" w:ascii="宋体" w:hAnsi="宋体" w:cs="Arial"/>
          <w:sz w:val="24"/>
        </w:rPr>
        <w:t>分，其他各有效投标人的价格评分统一按照下列公式计算：</w:t>
      </w:r>
    </w:p>
    <w:p w14:paraId="3BE01DB4">
      <w:pPr>
        <w:autoSpaceDE w:val="0"/>
        <w:autoSpaceDN w:val="0"/>
        <w:adjustRightInd w:val="0"/>
        <w:snapToGrid w:val="0"/>
        <w:spacing w:line="360" w:lineRule="auto"/>
        <w:ind w:right="34" w:firstLine="480" w:firstLineChars="200"/>
        <w:rPr>
          <w:rFonts w:hint="default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cs="Arial"/>
          <w:sz w:val="24"/>
        </w:rPr>
        <w:t>500元以上配件价格分=（评标基准价÷（1-投标下浮率））×</w:t>
      </w:r>
      <w:r>
        <w:rPr>
          <w:rFonts w:hint="eastAsia" w:ascii="宋体" w:hAnsi="宋体" w:cs="Arial"/>
          <w:sz w:val="24"/>
          <w:lang w:val="en-US" w:eastAsia="zh-CN"/>
        </w:rPr>
        <w:t>20%</w:t>
      </w:r>
    </w:p>
    <w:p w14:paraId="7D179B4D">
      <w:pPr>
        <w:autoSpaceDE w:val="0"/>
        <w:autoSpaceDN w:val="0"/>
        <w:adjustRightInd w:val="0"/>
        <w:snapToGrid w:val="0"/>
        <w:spacing w:line="360" w:lineRule="auto"/>
        <w:ind w:right="34"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  <w:lang w:val="en-US" w:eastAsia="zh-CN"/>
        </w:rPr>
        <w:t>综合得</w:t>
      </w:r>
      <w:r>
        <w:rPr>
          <w:rFonts w:hint="eastAsia" w:ascii="宋体" w:hAnsi="宋体" w:cs="Arial"/>
          <w:sz w:val="24"/>
        </w:rPr>
        <w:t>分=水泵、冷却塔维保价格</w:t>
      </w:r>
      <w:r>
        <w:rPr>
          <w:rFonts w:hint="eastAsia" w:ascii="宋体" w:hAnsi="宋体" w:cs="Arial"/>
          <w:sz w:val="24"/>
          <w:lang w:val="en-US" w:eastAsia="zh-CN"/>
        </w:rPr>
        <w:t>得</w:t>
      </w:r>
      <w:r>
        <w:rPr>
          <w:rFonts w:hint="eastAsia" w:ascii="宋体" w:hAnsi="宋体" w:cs="Arial"/>
          <w:sz w:val="24"/>
        </w:rPr>
        <w:t>分+500元以上配件价格</w:t>
      </w:r>
      <w:r>
        <w:rPr>
          <w:rFonts w:hint="eastAsia" w:ascii="宋体" w:hAnsi="宋体" w:cs="Arial"/>
          <w:sz w:val="24"/>
          <w:lang w:val="en-US" w:eastAsia="zh-CN"/>
        </w:rPr>
        <w:t>得</w:t>
      </w:r>
      <w:r>
        <w:rPr>
          <w:rFonts w:hint="eastAsia" w:ascii="宋体" w:hAnsi="宋体" w:cs="Arial"/>
          <w:sz w:val="24"/>
        </w:rPr>
        <w:t>分。</w:t>
      </w:r>
    </w:p>
    <w:p w14:paraId="0C33C0BA">
      <w:pPr>
        <w:autoSpaceDE w:val="0"/>
        <w:autoSpaceDN w:val="0"/>
        <w:adjustRightInd w:val="0"/>
        <w:snapToGrid w:val="0"/>
        <w:spacing w:line="360" w:lineRule="auto"/>
        <w:ind w:right="34"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根据各投标人的价格得分，计算出各投标人的综合得分，评标委员会按综合得分由高到低的原则进行排序</w:t>
      </w:r>
      <w:r>
        <w:rPr>
          <w:rFonts w:hint="eastAsia" w:ascii="宋体" w:hAnsi="宋体" w:cs="Arial"/>
          <w:sz w:val="24"/>
          <w:lang w:eastAsia="zh-CN"/>
        </w:rPr>
        <w:t>，</w:t>
      </w:r>
      <w:r>
        <w:rPr>
          <w:rFonts w:hint="eastAsia" w:ascii="宋体" w:hAnsi="宋体" w:cs="Arial"/>
          <w:sz w:val="24"/>
          <w:lang w:val="en-US" w:eastAsia="zh-CN"/>
        </w:rPr>
        <w:t>以综合得分为最高者为中标候选人</w:t>
      </w:r>
      <w:r>
        <w:rPr>
          <w:rFonts w:hint="eastAsia" w:ascii="宋体" w:hAnsi="宋体" w:cs="Arial"/>
          <w:sz w:val="24"/>
        </w:rPr>
        <w:t>。</w:t>
      </w:r>
    </w:p>
    <w:p w14:paraId="463EB5E9">
      <w:pPr>
        <w:autoSpaceDE w:val="0"/>
        <w:autoSpaceDN w:val="0"/>
        <w:adjustRightInd w:val="0"/>
        <w:snapToGrid w:val="0"/>
        <w:spacing w:line="360" w:lineRule="auto"/>
        <w:ind w:right="34"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响应文件满足采购文件全部实质性要求，且按照评审因素的量化指标评审得分最高的供应商为成交供应商。如多家得分相同的，按投标报价由低到高顺序排列。</w:t>
      </w:r>
      <w:bookmarkStart w:id="0" w:name="_GoBack"/>
      <w:bookmarkEnd w:id="0"/>
    </w:p>
    <w:p w14:paraId="565A0811">
      <w:pPr>
        <w:autoSpaceDE w:val="0"/>
        <w:autoSpaceDN w:val="0"/>
        <w:adjustRightInd w:val="0"/>
        <w:snapToGrid w:val="0"/>
        <w:spacing w:line="360" w:lineRule="auto"/>
        <w:ind w:right="34" w:firstLine="480" w:firstLineChars="20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具体采购结果将在我院官网招标采购页面公告，请报价人留意公告。</w:t>
      </w:r>
    </w:p>
    <w:p w14:paraId="7F635A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Yzc1OGZiZmYwOWExMDBhODZhMjc0OTljZDQ0NzUifQ=="/>
  </w:docVars>
  <w:rsids>
    <w:rsidRoot w:val="00000000"/>
    <w:rsid w:val="403C1019"/>
    <w:rsid w:val="5218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pageBreakBefore/>
      <w:spacing w:before="340" w:after="330" w:line="576" w:lineRule="auto"/>
      <w:textAlignment w:val="center"/>
      <w:outlineLvl w:val="0"/>
    </w:pPr>
    <w:rPr>
      <w:rFonts w:ascii="Arial" w:hAnsi="Arial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snapToGrid w:val="0"/>
      <w:spacing w:after="120" w:line="360" w:lineRule="auto"/>
      <w:ind w:left="420" w:firstLine="420" w:firstLineChars="200"/>
    </w:pPr>
    <w:rPr>
      <w:rFonts w:ascii="Tahoma" w:hAnsi="Tahoma"/>
      <w:sz w:val="28"/>
      <w:szCs w:val="24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480</Characters>
  <Lines>0</Lines>
  <Paragraphs>0</Paragraphs>
  <TotalTime>6</TotalTime>
  <ScaleCrop>false</ScaleCrop>
  <LinksUpToDate>false</LinksUpToDate>
  <CharactersWithSpaces>481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2024-09-05T08:42:00Z</dcterms:created>
  <dc:creator>Administrator</dc:creator>
  <cp:lastModifiedBy>雷明锋</cp:lastModifiedBy>
  <dcterms:modified xsi:type="dcterms:W3CDTF">2024-09-10T01:53:45Z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71309179AC6945569E73223EDC5E4546_13</vt:lpwstr>
  </property>
</Properties>
</file>