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56C6">
      <w:pPr>
        <w:spacing w:before="156" w:beforeLines="50" w:after="156" w:afterLines="50" w:line="276" w:lineRule="auto"/>
        <w:jc w:val="center"/>
        <w:rPr>
          <w:rFonts w:ascii="微软雅黑" w:hAnsi="微软雅黑" w:eastAsia="微软雅黑" w:cs="宋体"/>
          <w:b/>
          <w:color w:val="000000"/>
          <w:spacing w:val="10"/>
          <w:kern w:val="0"/>
          <w:sz w:val="28"/>
          <w:szCs w:val="28"/>
          <w:u w:val="single"/>
        </w:rPr>
      </w:pPr>
      <w:r>
        <w:rPr>
          <w:rFonts w:hint="eastAsia" w:ascii="微软雅黑" w:hAnsi="微软雅黑" w:eastAsia="微软雅黑" w:cs="宋体"/>
          <w:b/>
          <w:color w:val="000000"/>
          <w:spacing w:val="10"/>
          <w:kern w:val="0"/>
          <w:sz w:val="28"/>
          <w:szCs w:val="28"/>
          <w:u w:val="single"/>
        </w:rPr>
        <w:t>越秀院区中央空调系统主机维保</w:t>
      </w:r>
    </w:p>
    <w:p w14:paraId="16566D66">
      <w:pPr>
        <w:spacing w:before="156" w:beforeLines="50" w:after="156" w:afterLines="50"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一、设备情况</w:t>
      </w:r>
    </w:p>
    <w:tbl>
      <w:tblPr>
        <w:tblStyle w:val="6"/>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694"/>
        <w:gridCol w:w="1134"/>
        <w:gridCol w:w="3118"/>
      </w:tblGrid>
      <w:tr w14:paraId="3E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7C85A3DD">
            <w:pPr>
              <w:spacing w:line="276" w:lineRule="auto"/>
              <w:jc w:val="center"/>
              <w:rPr>
                <w:rFonts w:ascii="微软雅黑" w:hAnsi="微软雅黑" w:eastAsia="微软雅黑" w:cs="Times New Roman"/>
                <w:b/>
                <w:szCs w:val="21"/>
              </w:rPr>
            </w:pPr>
            <w:r>
              <w:rPr>
                <w:rFonts w:hint="eastAsia" w:ascii="微软雅黑" w:hAnsi="微软雅黑" w:eastAsia="微软雅黑" w:cs="Times New Roman"/>
                <w:b/>
                <w:szCs w:val="21"/>
              </w:rPr>
              <w:t>设备</w:t>
            </w:r>
          </w:p>
        </w:tc>
        <w:tc>
          <w:tcPr>
            <w:tcW w:w="2694" w:type="dxa"/>
            <w:shd w:val="clear" w:color="auto" w:fill="auto"/>
          </w:tcPr>
          <w:p w14:paraId="12448381">
            <w:pPr>
              <w:spacing w:line="276" w:lineRule="auto"/>
              <w:jc w:val="center"/>
              <w:rPr>
                <w:rFonts w:ascii="微软雅黑" w:hAnsi="微软雅黑" w:eastAsia="微软雅黑" w:cs="Times New Roman"/>
                <w:b/>
                <w:szCs w:val="21"/>
              </w:rPr>
            </w:pPr>
            <w:r>
              <w:rPr>
                <w:rFonts w:hint="eastAsia" w:ascii="微软雅黑" w:hAnsi="微软雅黑" w:eastAsia="微软雅黑" w:cs="Times New Roman"/>
                <w:b/>
                <w:szCs w:val="21"/>
              </w:rPr>
              <w:t>规格型号</w:t>
            </w:r>
          </w:p>
        </w:tc>
        <w:tc>
          <w:tcPr>
            <w:tcW w:w="1134" w:type="dxa"/>
            <w:shd w:val="clear" w:color="auto" w:fill="auto"/>
            <w:vAlign w:val="center"/>
          </w:tcPr>
          <w:p w14:paraId="0B79A8DE">
            <w:pPr>
              <w:spacing w:line="276" w:lineRule="auto"/>
              <w:jc w:val="center"/>
              <w:rPr>
                <w:rFonts w:ascii="微软雅黑" w:hAnsi="微软雅黑" w:eastAsia="微软雅黑" w:cs="Times New Roman"/>
                <w:b/>
                <w:szCs w:val="21"/>
              </w:rPr>
            </w:pPr>
            <w:r>
              <w:rPr>
                <w:rFonts w:hint="eastAsia" w:ascii="微软雅黑" w:hAnsi="微软雅黑" w:eastAsia="微软雅黑" w:cs="Times New Roman"/>
                <w:b/>
                <w:szCs w:val="21"/>
              </w:rPr>
              <w:t>数量</w:t>
            </w:r>
          </w:p>
        </w:tc>
        <w:tc>
          <w:tcPr>
            <w:tcW w:w="3118" w:type="dxa"/>
            <w:shd w:val="clear" w:color="auto" w:fill="auto"/>
            <w:vAlign w:val="center"/>
          </w:tcPr>
          <w:p w14:paraId="5FAD2549">
            <w:pPr>
              <w:spacing w:line="276" w:lineRule="auto"/>
              <w:jc w:val="center"/>
              <w:rPr>
                <w:rFonts w:ascii="微软雅黑" w:hAnsi="微软雅黑" w:eastAsia="微软雅黑" w:cs="Times New Roman"/>
                <w:b/>
                <w:szCs w:val="21"/>
              </w:rPr>
            </w:pPr>
            <w:r>
              <w:rPr>
                <w:rFonts w:hint="eastAsia" w:ascii="微软雅黑" w:hAnsi="微软雅黑" w:eastAsia="微软雅黑" w:cs="Times New Roman"/>
                <w:b/>
                <w:szCs w:val="21"/>
              </w:rPr>
              <w:t>位置</w:t>
            </w:r>
          </w:p>
        </w:tc>
      </w:tr>
      <w:tr w14:paraId="6B47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216D49C0">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离心式水冷机组（特灵）</w:t>
            </w:r>
          </w:p>
        </w:tc>
        <w:tc>
          <w:tcPr>
            <w:tcW w:w="2694" w:type="dxa"/>
            <w:shd w:val="clear" w:color="auto" w:fill="auto"/>
          </w:tcPr>
          <w:p w14:paraId="35E0A1A7">
            <w:pPr>
              <w:spacing w:line="276" w:lineRule="auto"/>
              <w:jc w:val="center"/>
              <w:rPr>
                <w:rFonts w:ascii="微软雅黑" w:hAnsi="微软雅黑" w:eastAsia="微软雅黑" w:cs="Times New Roman"/>
                <w:szCs w:val="21"/>
              </w:rPr>
            </w:pPr>
            <w:r>
              <w:rPr>
                <w:rFonts w:ascii="微软雅黑" w:hAnsi="微软雅黑" w:eastAsia="微软雅黑" w:cs="Times New Roman"/>
                <w:szCs w:val="21"/>
              </w:rPr>
              <w:t>CVHG780</w:t>
            </w:r>
          </w:p>
        </w:tc>
        <w:tc>
          <w:tcPr>
            <w:tcW w:w="1134" w:type="dxa"/>
            <w:shd w:val="clear" w:color="auto" w:fill="auto"/>
            <w:vAlign w:val="center"/>
          </w:tcPr>
          <w:p w14:paraId="329E1E7C">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3台</w:t>
            </w:r>
          </w:p>
        </w:tc>
        <w:tc>
          <w:tcPr>
            <w:tcW w:w="3118" w:type="dxa"/>
            <w:shd w:val="clear" w:color="auto" w:fill="auto"/>
            <w:vAlign w:val="center"/>
          </w:tcPr>
          <w:p w14:paraId="17AC2123">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1号楼负二层</w:t>
            </w:r>
          </w:p>
        </w:tc>
      </w:tr>
      <w:tr w14:paraId="7F3E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30661573">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螺杆式风冷机组（特灵）</w:t>
            </w:r>
          </w:p>
        </w:tc>
        <w:tc>
          <w:tcPr>
            <w:tcW w:w="2694" w:type="dxa"/>
            <w:shd w:val="clear" w:color="auto" w:fill="auto"/>
          </w:tcPr>
          <w:p w14:paraId="297DFC88">
            <w:pPr>
              <w:spacing w:line="276" w:lineRule="auto"/>
              <w:jc w:val="center"/>
              <w:rPr>
                <w:rFonts w:ascii="微软雅黑" w:hAnsi="微软雅黑" w:eastAsia="微软雅黑" w:cs="Times New Roman"/>
                <w:szCs w:val="21"/>
              </w:rPr>
            </w:pPr>
            <w:r>
              <w:rPr>
                <w:rFonts w:ascii="微软雅黑" w:hAnsi="微软雅黑" w:eastAsia="微软雅黑" w:cs="Times New Roman"/>
                <w:szCs w:val="21"/>
              </w:rPr>
              <w:t>RTAG125SHP（440KW</w:t>
            </w:r>
            <w:r>
              <w:rPr>
                <w:rFonts w:hint="eastAsia" w:ascii="微软雅黑" w:hAnsi="微软雅黑" w:eastAsia="微软雅黑" w:cs="Times New Roman"/>
                <w:szCs w:val="21"/>
              </w:rPr>
              <w:t>）</w:t>
            </w:r>
          </w:p>
        </w:tc>
        <w:tc>
          <w:tcPr>
            <w:tcW w:w="1134" w:type="dxa"/>
            <w:shd w:val="clear" w:color="auto" w:fill="auto"/>
            <w:vAlign w:val="center"/>
          </w:tcPr>
          <w:p w14:paraId="3325FEB2">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2台</w:t>
            </w:r>
          </w:p>
        </w:tc>
        <w:tc>
          <w:tcPr>
            <w:tcW w:w="3118" w:type="dxa"/>
            <w:shd w:val="clear" w:color="auto" w:fill="auto"/>
            <w:vAlign w:val="center"/>
          </w:tcPr>
          <w:p w14:paraId="4BA0CF8A">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1号楼天面（旧手术室）</w:t>
            </w:r>
          </w:p>
        </w:tc>
      </w:tr>
      <w:tr w14:paraId="6452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029925D2">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螺杆式风冷机组（特灵）</w:t>
            </w:r>
          </w:p>
        </w:tc>
        <w:tc>
          <w:tcPr>
            <w:tcW w:w="2694" w:type="dxa"/>
            <w:shd w:val="clear" w:color="auto" w:fill="auto"/>
          </w:tcPr>
          <w:p w14:paraId="687126C2">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RTXA+（347KW）</w:t>
            </w:r>
          </w:p>
        </w:tc>
        <w:tc>
          <w:tcPr>
            <w:tcW w:w="1134" w:type="dxa"/>
            <w:shd w:val="clear" w:color="auto" w:fill="auto"/>
            <w:vAlign w:val="center"/>
          </w:tcPr>
          <w:p w14:paraId="1466FD92">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2台</w:t>
            </w:r>
          </w:p>
        </w:tc>
        <w:tc>
          <w:tcPr>
            <w:tcW w:w="3118" w:type="dxa"/>
            <w:shd w:val="clear" w:color="auto" w:fill="auto"/>
            <w:vAlign w:val="center"/>
          </w:tcPr>
          <w:p w14:paraId="7525E2AE">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1号楼天面（新手术室）</w:t>
            </w:r>
          </w:p>
        </w:tc>
      </w:tr>
      <w:tr w14:paraId="32B7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4D989D73">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离心式水冷机组（特灵）</w:t>
            </w:r>
          </w:p>
        </w:tc>
        <w:tc>
          <w:tcPr>
            <w:tcW w:w="2694" w:type="dxa"/>
            <w:shd w:val="clear" w:color="auto" w:fill="auto"/>
          </w:tcPr>
          <w:p w14:paraId="591539D7">
            <w:pPr>
              <w:spacing w:line="276" w:lineRule="auto"/>
              <w:jc w:val="center"/>
              <w:rPr>
                <w:rFonts w:ascii="微软雅黑" w:hAnsi="微软雅黑" w:eastAsia="微软雅黑" w:cs="Times New Roman"/>
                <w:szCs w:val="21"/>
              </w:rPr>
            </w:pPr>
            <w:r>
              <w:rPr>
                <w:rFonts w:ascii="微软雅黑" w:hAnsi="微软雅黑" w:eastAsia="微软雅黑" w:cs="Times New Roman"/>
                <w:szCs w:val="21"/>
              </w:rPr>
              <w:t>CVHG</w:t>
            </w:r>
            <w:r>
              <w:rPr>
                <w:rFonts w:hint="eastAsia" w:ascii="微软雅黑" w:hAnsi="微软雅黑" w:eastAsia="微软雅黑" w:cs="Times New Roman"/>
                <w:szCs w:val="21"/>
              </w:rPr>
              <w:t>780（2461KW）</w:t>
            </w:r>
          </w:p>
        </w:tc>
        <w:tc>
          <w:tcPr>
            <w:tcW w:w="1134" w:type="dxa"/>
            <w:shd w:val="clear" w:color="auto" w:fill="auto"/>
            <w:vAlign w:val="center"/>
          </w:tcPr>
          <w:p w14:paraId="1C438F65">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3台</w:t>
            </w:r>
          </w:p>
        </w:tc>
        <w:tc>
          <w:tcPr>
            <w:tcW w:w="3118" w:type="dxa"/>
            <w:shd w:val="clear" w:color="auto" w:fill="auto"/>
            <w:vAlign w:val="center"/>
          </w:tcPr>
          <w:p w14:paraId="6173E972">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2号楼负二层</w:t>
            </w:r>
          </w:p>
        </w:tc>
      </w:tr>
      <w:tr w14:paraId="36D8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150ED735">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螺杆式风冷机组（特灵）</w:t>
            </w:r>
          </w:p>
        </w:tc>
        <w:tc>
          <w:tcPr>
            <w:tcW w:w="2694" w:type="dxa"/>
            <w:shd w:val="clear" w:color="auto" w:fill="auto"/>
          </w:tcPr>
          <w:p w14:paraId="0DBD62AA">
            <w:pPr>
              <w:spacing w:line="276" w:lineRule="auto"/>
              <w:jc w:val="center"/>
              <w:rPr>
                <w:rFonts w:ascii="微软雅黑" w:hAnsi="微软雅黑" w:eastAsia="微软雅黑" w:cs="Times New Roman"/>
                <w:szCs w:val="21"/>
              </w:rPr>
            </w:pPr>
            <w:r>
              <w:rPr>
                <w:rFonts w:ascii="微软雅黑" w:hAnsi="微软雅黑" w:eastAsia="微软雅黑" w:cs="Times New Roman"/>
                <w:szCs w:val="21"/>
              </w:rPr>
              <w:t>RT</w:t>
            </w:r>
            <w:r>
              <w:rPr>
                <w:rFonts w:hint="eastAsia" w:ascii="微软雅黑" w:hAnsi="微软雅黑" w:eastAsia="微软雅黑" w:cs="Times New Roman"/>
                <w:szCs w:val="21"/>
              </w:rPr>
              <w:t>XA+（693KW）</w:t>
            </w:r>
          </w:p>
        </w:tc>
        <w:tc>
          <w:tcPr>
            <w:tcW w:w="1134" w:type="dxa"/>
            <w:shd w:val="clear" w:color="auto" w:fill="auto"/>
            <w:vAlign w:val="center"/>
          </w:tcPr>
          <w:p w14:paraId="0084F586">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2台</w:t>
            </w:r>
          </w:p>
        </w:tc>
        <w:tc>
          <w:tcPr>
            <w:tcW w:w="3118" w:type="dxa"/>
            <w:shd w:val="clear" w:color="auto" w:fill="auto"/>
            <w:vAlign w:val="center"/>
          </w:tcPr>
          <w:p w14:paraId="63C1E6CE">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2号楼天面</w:t>
            </w:r>
          </w:p>
        </w:tc>
      </w:tr>
      <w:tr w14:paraId="63D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422DE10F">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螺杆式风冷机组（特灵）</w:t>
            </w:r>
          </w:p>
        </w:tc>
        <w:tc>
          <w:tcPr>
            <w:tcW w:w="2694" w:type="dxa"/>
            <w:shd w:val="clear" w:color="auto" w:fill="auto"/>
          </w:tcPr>
          <w:p w14:paraId="1E3D25DA">
            <w:pPr>
              <w:spacing w:line="276" w:lineRule="auto"/>
              <w:jc w:val="center"/>
              <w:rPr>
                <w:rFonts w:ascii="微软雅黑" w:hAnsi="微软雅黑" w:eastAsia="微软雅黑" w:cs="Times New Roman"/>
                <w:szCs w:val="21"/>
              </w:rPr>
            </w:pPr>
            <w:r>
              <w:rPr>
                <w:rFonts w:ascii="微软雅黑" w:hAnsi="微软雅黑" w:eastAsia="微软雅黑" w:cs="Times New Roman"/>
                <w:szCs w:val="21"/>
              </w:rPr>
              <w:t>RT</w:t>
            </w:r>
            <w:r>
              <w:rPr>
                <w:rFonts w:hint="eastAsia" w:ascii="微软雅黑" w:hAnsi="微软雅黑" w:eastAsia="微软雅黑" w:cs="Times New Roman"/>
                <w:szCs w:val="21"/>
              </w:rPr>
              <w:t>XA+（347KW）</w:t>
            </w:r>
          </w:p>
        </w:tc>
        <w:tc>
          <w:tcPr>
            <w:tcW w:w="1134" w:type="dxa"/>
            <w:shd w:val="clear" w:color="auto" w:fill="auto"/>
            <w:vAlign w:val="center"/>
          </w:tcPr>
          <w:p w14:paraId="6B801BC7">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2台</w:t>
            </w:r>
          </w:p>
        </w:tc>
        <w:tc>
          <w:tcPr>
            <w:tcW w:w="3118" w:type="dxa"/>
            <w:shd w:val="clear" w:color="auto" w:fill="auto"/>
            <w:vAlign w:val="center"/>
          </w:tcPr>
          <w:p w14:paraId="2EA130D4">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2号楼天面</w:t>
            </w:r>
          </w:p>
        </w:tc>
      </w:tr>
      <w:tr w14:paraId="44EF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restart"/>
            <w:shd w:val="clear" w:color="auto" w:fill="auto"/>
            <w:vAlign w:val="center"/>
          </w:tcPr>
          <w:p w14:paraId="4531BDED">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风冷螺杆热泵机组</w:t>
            </w:r>
          </w:p>
          <w:p w14:paraId="130A12EE">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（顿汉布什）</w:t>
            </w:r>
          </w:p>
        </w:tc>
        <w:tc>
          <w:tcPr>
            <w:tcW w:w="2694" w:type="dxa"/>
            <w:shd w:val="clear" w:color="auto" w:fill="auto"/>
          </w:tcPr>
          <w:p w14:paraId="0A26454C">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ACDXHP250</w:t>
            </w:r>
          </w:p>
        </w:tc>
        <w:tc>
          <w:tcPr>
            <w:tcW w:w="1134" w:type="dxa"/>
            <w:shd w:val="clear" w:color="auto" w:fill="auto"/>
            <w:vAlign w:val="center"/>
          </w:tcPr>
          <w:p w14:paraId="577AA2EE">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1台</w:t>
            </w:r>
          </w:p>
        </w:tc>
        <w:tc>
          <w:tcPr>
            <w:tcW w:w="3118" w:type="dxa"/>
            <w:vMerge w:val="restart"/>
            <w:shd w:val="clear" w:color="auto" w:fill="auto"/>
            <w:vAlign w:val="center"/>
          </w:tcPr>
          <w:p w14:paraId="5C0400BF">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交通院区体检中心</w:t>
            </w:r>
          </w:p>
          <w:p w14:paraId="3FE7B097">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3楼设备平台</w:t>
            </w:r>
          </w:p>
        </w:tc>
      </w:tr>
      <w:tr w14:paraId="559D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continue"/>
            <w:shd w:val="clear" w:color="auto" w:fill="auto"/>
            <w:vAlign w:val="center"/>
          </w:tcPr>
          <w:p w14:paraId="00CE0D8B">
            <w:pPr>
              <w:spacing w:line="276" w:lineRule="auto"/>
              <w:jc w:val="center"/>
              <w:rPr>
                <w:rFonts w:ascii="微软雅黑" w:hAnsi="微软雅黑" w:eastAsia="微软雅黑" w:cs="Times New Roman"/>
                <w:szCs w:val="21"/>
              </w:rPr>
            </w:pPr>
          </w:p>
        </w:tc>
        <w:tc>
          <w:tcPr>
            <w:tcW w:w="2694" w:type="dxa"/>
            <w:shd w:val="clear" w:color="auto" w:fill="auto"/>
          </w:tcPr>
          <w:p w14:paraId="3E15BB0D">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ACDXHP290</w:t>
            </w:r>
          </w:p>
        </w:tc>
        <w:tc>
          <w:tcPr>
            <w:tcW w:w="1134" w:type="dxa"/>
            <w:shd w:val="clear" w:color="auto" w:fill="auto"/>
            <w:vAlign w:val="center"/>
          </w:tcPr>
          <w:p w14:paraId="435F4095">
            <w:pPr>
              <w:spacing w:line="276" w:lineRule="auto"/>
              <w:jc w:val="center"/>
              <w:rPr>
                <w:rFonts w:ascii="微软雅黑" w:hAnsi="微软雅黑" w:eastAsia="微软雅黑" w:cs="Times New Roman"/>
                <w:szCs w:val="21"/>
              </w:rPr>
            </w:pPr>
            <w:r>
              <w:rPr>
                <w:rFonts w:hint="eastAsia" w:ascii="微软雅黑" w:hAnsi="微软雅黑" w:eastAsia="微软雅黑" w:cs="Times New Roman"/>
                <w:szCs w:val="21"/>
              </w:rPr>
              <w:t>1台</w:t>
            </w:r>
          </w:p>
        </w:tc>
        <w:tc>
          <w:tcPr>
            <w:tcW w:w="3118" w:type="dxa"/>
            <w:vMerge w:val="continue"/>
            <w:shd w:val="clear" w:color="auto" w:fill="auto"/>
            <w:vAlign w:val="center"/>
          </w:tcPr>
          <w:p w14:paraId="27ACE968">
            <w:pPr>
              <w:spacing w:line="276" w:lineRule="auto"/>
              <w:jc w:val="center"/>
              <w:rPr>
                <w:rFonts w:ascii="微软雅黑" w:hAnsi="微软雅黑" w:eastAsia="微软雅黑" w:cs="Times New Roman"/>
                <w:szCs w:val="21"/>
              </w:rPr>
            </w:pPr>
          </w:p>
        </w:tc>
      </w:tr>
    </w:tbl>
    <w:p w14:paraId="45D7827B">
      <w:pPr>
        <w:spacing w:before="156" w:beforeLines="50" w:after="156" w:afterLines="50"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二、服务类型：</w:t>
      </w:r>
    </w:p>
    <w:p w14:paraId="1CF79419">
      <w:pPr>
        <w:spacing w:line="276" w:lineRule="auto"/>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技术服务：本合同价款包括维修和保养所需技术服务（维护保养、翅片清洗、通炮等）的人工费用、配件（单价≤</w:t>
      </w:r>
      <w:r>
        <w:rPr>
          <w:rFonts w:ascii="微软雅黑" w:hAnsi="微软雅黑" w:eastAsia="微软雅黑" w:cs="Times New Roman"/>
          <w:sz w:val="24"/>
          <w:szCs w:val="24"/>
        </w:rPr>
        <w:t>500元）采购费用、配件（全部配件，包括500元以上配件）的更换安装和调试费用等。单价大于500元的配件由采购人提供，中标人负责免费更换与安装调试（采购人不再另外支付费用），采购人提供配件后，由中标人进行验收，验收无误后进行安装，中标人承担相应质保责任，如为产品质量问题，由中标人与厂家进行售后沟通。</w:t>
      </w:r>
      <w:r>
        <w:rPr>
          <w:rFonts w:hint="eastAsia" w:ascii="微软雅黑" w:hAnsi="微软雅黑" w:eastAsia="微软雅黑" w:cs="Times New Roman"/>
          <w:sz w:val="24"/>
          <w:szCs w:val="24"/>
        </w:rPr>
        <w:t xml:space="preserve"> </w:t>
      </w:r>
    </w:p>
    <w:p w14:paraId="05FA6314">
      <w:pPr>
        <w:spacing w:before="156" w:beforeLines="50" w:after="156" w:afterLines="50"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三、维保内容</w:t>
      </w:r>
    </w:p>
    <w:p w14:paraId="790B4B8C">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 xml:space="preserve">附件一  </w:t>
      </w:r>
      <w:r>
        <w:rPr>
          <w:rFonts w:ascii="微软雅黑" w:hAnsi="微软雅黑" w:eastAsia="微软雅黑" w:cs="宋体"/>
          <w:b/>
          <w:bCs/>
          <w:sz w:val="24"/>
          <w:szCs w:val="24"/>
        </w:rPr>
        <w:t>TRANE CVHG</w:t>
      </w:r>
      <w:r>
        <w:rPr>
          <w:rFonts w:hint="eastAsia" w:ascii="微软雅黑" w:hAnsi="微软雅黑" w:eastAsia="微软雅黑" w:cs="宋体"/>
          <w:b/>
          <w:bCs/>
          <w:sz w:val="24"/>
          <w:szCs w:val="24"/>
        </w:rPr>
        <w:t>机组保养程序</w:t>
      </w:r>
    </w:p>
    <w:p w14:paraId="6631CEBC">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应急服务：</w:t>
      </w:r>
    </w:p>
    <w:p w14:paraId="0D7A571E">
      <w:pPr>
        <w:numPr>
          <w:ilvl w:val="0"/>
          <w:numId w:val="1"/>
        </w:numPr>
        <w:tabs>
          <w:tab w:val="left" w:pos="284"/>
        </w:tabs>
        <w:spacing w:line="276" w:lineRule="auto"/>
        <w:ind w:hanging="840"/>
        <w:rPr>
          <w:rFonts w:ascii="微软雅黑" w:hAnsi="微软雅黑" w:eastAsia="微软雅黑" w:cs="宋体"/>
          <w:sz w:val="24"/>
          <w:szCs w:val="24"/>
        </w:rPr>
      </w:pPr>
      <w:r>
        <w:rPr>
          <w:rFonts w:hint="eastAsia" w:ascii="微软雅黑" w:hAnsi="微软雅黑" w:eastAsia="微软雅黑" w:cs="宋体"/>
          <w:sz w:val="24"/>
          <w:szCs w:val="24"/>
        </w:rPr>
        <w:t>提供设备故障紧急咨询服务</w:t>
      </w:r>
    </w:p>
    <w:p w14:paraId="1972DA0C">
      <w:pPr>
        <w:numPr>
          <w:ilvl w:val="0"/>
          <w:numId w:val="1"/>
        </w:numPr>
        <w:tabs>
          <w:tab w:val="left" w:pos="284"/>
        </w:tabs>
        <w:spacing w:line="276" w:lineRule="auto"/>
        <w:ind w:hanging="840"/>
        <w:rPr>
          <w:rFonts w:ascii="微软雅黑" w:hAnsi="微软雅黑" w:eastAsia="微软雅黑" w:cs="宋体"/>
          <w:sz w:val="24"/>
          <w:szCs w:val="24"/>
        </w:rPr>
      </w:pPr>
      <w:r>
        <w:rPr>
          <w:rFonts w:hint="eastAsia" w:ascii="微软雅黑" w:hAnsi="微软雅黑" w:eastAsia="微软雅黑" w:cs="宋体"/>
          <w:sz w:val="24"/>
          <w:szCs w:val="24"/>
        </w:rPr>
        <w:t>接到用户通知后，提供设备故障排除服务</w:t>
      </w:r>
    </w:p>
    <w:p w14:paraId="56F6E77E">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月度常规保养：</w:t>
      </w:r>
    </w:p>
    <w:p w14:paraId="5F9A1E9F">
      <w:pPr>
        <w:spacing w:after="60" w:line="276" w:lineRule="auto"/>
        <w:rPr>
          <w:rFonts w:ascii="微软雅黑" w:hAnsi="微软雅黑" w:eastAsia="微软雅黑" w:cs="宋体"/>
          <w:sz w:val="24"/>
          <w:szCs w:val="24"/>
        </w:rPr>
      </w:pPr>
      <w:r>
        <w:rPr>
          <w:rFonts w:ascii="微软雅黑" w:hAnsi="微软雅黑" w:eastAsia="微软雅黑" w:cs="宋体"/>
          <w:sz w:val="24"/>
          <w:szCs w:val="24"/>
        </w:rPr>
        <w:t>1</w:t>
      </w:r>
      <w:r>
        <w:rPr>
          <w:rFonts w:hint="eastAsia" w:ascii="微软雅黑" w:hAnsi="微软雅黑" w:eastAsia="微软雅黑" w:cs="宋体"/>
          <w:sz w:val="24"/>
          <w:szCs w:val="24"/>
        </w:rPr>
        <w:t>、压缩机马达</w:t>
      </w:r>
    </w:p>
    <w:p w14:paraId="6266767F">
      <w:pPr>
        <w:numPr>
          <w:ilvl w:val="0"/>
          <w:numId w:val="2"/>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检测及收紧所有之马达电源端子</w:t>
      </w:r>
    </w:p>
    <w:p w14:paraId="3366276E">
      <w:pPr>
        <w:numPr>
          <w:ilvl w:val="0"/>
          <w:numId w:val="2"/>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检测马达线圈温度传感器奥姆值</w:t>
      </w:r>
    </w:p>
    <w:p w14:paraId="2E9E3839">
      <w:pPr>
        <w:numPr>
          <w:ilvl w:val="0"/>
          <w:numId w:val="2"/>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马达线组之绝缘阻抗测试</w:t>
      </w:r>
    </w:p>
    <w:p w14:paraId="20AB7571">
      <w:pPr>
        <w:spacing w:after="60" w:line="276" w:lineRule="auto"/>
        <w:rPr>
          <w:rFonts w:ascii="微软雅黑" w:hAnsi="微软雅黑" w:eastAsia="微软雅黑" w:cs="宋体"/>
          <w:sz w:val="24"/>
          <w:szCs w:val="24"/>
        </w:rPr>
      </w:pPr>
      <w:r>
        <w:rPr>
          <w:rFonts w:ascii="微软雅黑" w:hAnsi="微软雅黑" w:eastAsia="微软雅黑" w:cs="宋体"/>
          <w:sz w:val="24"/>
          <w:szCs w:val="24"/>
        </w:rPr>
        <w:t>2</w:t>
      </w:r>
      <w:r>
        <w:rPr>
          <w:rFonts w:hint="eastAsia" w:ascii="微软雅黑" w:hAnsi="微软雅黑" w:eastAsia="微软雅黑" w:cs="宋体"/>
          <w:sz w:val="24"/>
          <w:szCs w:val="24"/>
        </w:rPr>
        <w:t>、马达起动控制箱</w:t>
      </w:r>
    </w:p>
    <w:p w14:paraId="55258DFC">
      <w:pPr>
        <w:numPr>
          <w:ilvl w:val="0"/>
          <w:numId w:val="3"/>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收紧所有之电源端子</w:t>
      </w:r>
    </w:p>
    <w:p w14:paraId="5597DFF5">
      <w:pPr>
        <w:numPr>
          <w:ilvl w:val="0"/>
          <w:numId w:val="3"/>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对马达起动箱除垢</w:t>
      </w:r>
    </w:p>
    <w:p w14:paraId="78D19ABB">
      <w:pPr>
        <w:spacing w:after="60" w:line="276" w:lineRule="auto"/>
        <w:rPr>
          <w:rFonts w:ascii="微软雅黑" w:hAnsi="微软雅黑" w:eastAsia="微软雅黑" w:cs="宋体"/>
          <w:sz w:val="24"/>
          <w:szCs w:val="24"/>
        </w:rPr>
      </w:pPr>
      <w:r>
        <w:rPr>
          <w:rFonts w:ascii="微软雅黑" w:hAnsi="微软雅黑" w:eastAsia="微软雅黑" w:cs="宋体"/>
          <w:sz w:val="24"/>
          <w:szCs w:val="24"/>
        </w:rPr>
        <w:t>3</w:t>
      </w:r>
      <w:r>
        <w:rPr>
          <w:rFonts w:hint="eastAsia" w:ascii="微软雅黑" w:hAnsi="微软雅黑" w:eastAsia="微软雅黑" w:cs="宋体"/>
          <w:sz w:val="24"/>
          <w:szCs w:val="24"/>
        </w:rPr>
        <w:t>、润滑系统</w:t>
      </w:r>
    </w:p>
    <w:p w14:paraId="089660CB">
      <w:pPr>
        <w:numPr>
          <w:ilvl w:val="0"/>
          <w:numId w:val="4"/>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检查油槽油位是否正常</w:t>
      </w:r>
    </w:p>
    <w:p w14:paraId="0C99FF4B">
      <w:pPr>
        <w:numPr>
          <w:ilvl w:val="0"/>
          <w:numId w:val="4"/>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收紧油泵马达电源端子</w:t>
      </w:r>
    </w:p>
    <w:p w14:paraId="2AB6628F">
      <w:pPr>
        <w:numPr>
          <w:ilvl w:val="0"/>
          <w:numId w:val="4"/>
        </w:numPr>
        <w:spacing w:line="276" w:lineRule="auto"/>
        <w:ind w:left="476" w:hanging="357"/>
        <w:rPr>
          <w:rFonts w:ascii="微软雅黑" w:hAnsi="微软雅黑" w:eastAsia="微软雅黑" w:cs="宋体"/>
          <w:sz w:val="24"/>
          <w:szCs w:val="24"/>
        </w:rPr>
      </w:pPr>
      <w:r>
        <w:rPr>
          <w:rFonts w:hint="eastAsia" w:ascii="微软雅黑" w:hAnsi="微软雅黑" w:eastAsia="微软雅黑" w:cs="宋体"/>
          <w:sz w:val="24"/>
          <w:szCs w:val="24"/>
        </w:rPr>
        <w:t>检查及除垢处理</w:t>
      </w:r>
    </w:p>
    <w:p w14:paraId="7DDB55C2">
      <w:pPr>
        <w:spacing w:after="60" w:line="276" w:lineRule="auto"/>
        <w:rPr>
          <w:rFonts w:ascii="微软雅黑" w:hAnsi="微软雅黑" w:eastAsia="微软雅黑" w:cs="宋体"/>
          <w:sz w:val="24"/>
          <w:szCs w:val="24"/>
        </w:rPr>
      </w:pPr>
      <w:r>
        <w:rPr>
          <w:rFonts w:ascii="微软雅黑" w:hAnsi="微软雅黑" w:eastAsia="微软雅黑" w:cs="宋体"/>
          <w:sz w:val="24"/>
          <w:szCs w:val="24"/>
        </w:rPr>
        <w:t>4</w:t>
      </w:r>
      <w:r>
        <w:rPr>
          <w:rFonts w:hint="eastAsia" w:ascii="微软雅黑" w:hAnsi="微软雅黑" w:eastAsia="微软雅黑" w:cs="宋体"/>
          <w:sz w:val="24"/>
          <w:szCs w:val="24"/>
        </w:rPr>
        <w:t>、控制及保护电路</w:t>
      </w:r>
    </w:p>
    <w:p w14:paraId="11D957D1">
      <w:pPr>
        <w:numPr>
          <w:ilvl w:val="0"/>
          <w:numId w:val="5"/>
        </w:numPr>
        <w:spacing w:after="60" w:line="276" w:lineRule="auto"/>
        <w:rPr>
          <w:rFonts w:ascii="微软雅黑" w:hAnsi="微软雅黑" w:eastAsia="微软雅黑" w:cs="宋体"/>
          <w:sz w:val="24"/>
          <w:szCs w:val="24"/>
        </w:rPr>
      </w:pPr>
      <w:r>
        <w:rPr>
          <w:rFonts w:hint="eastAsia" w:ascii="微软雅黑" w:hAnsi="微软雅黑" w:eastAsia="微软雅黑" w:cs="宋体"/>
          <w:sz w:val="24"/>
          <w:szCs w:val="24"/>
        </w:rPr>
        <w:t>检查及调整导叶马达</w:t>
      </w:r>
    </w:p>
    <w:p w14:paraId="758F77B9">
      <w:pPr>
        <w:numPr>
          <w:ilvl w:val="0"/>
          <w:numId w:val="5"/>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润滑所有导叶之连杆及传动部份</w:t>
      </w:r>
    </w:p>
    <w:p w14:paraId="5257C424">
      <w:pPr>
        <w:spacing w:after="60" w:line="276" w:lineRule="auto"/>
        <w:rPr>
          <w:rFonts w:ascii="微软雅黑" w:hAnsi="微软雅黑" w:eastAsia="微软雅黑" w:cs="宋体"/>
          <w:sz w:val="24"/>
          <w:szCs w:val="24"/>
        </w:rPr>
      </w:pPr>
      <w:r>
        <w:rPr>
          <w:rFonts w:ascii="微软雅黑" w:hAnsi="微软雅黑" w:eastAsia="微软雅黑" w:cs="宋体"/>
          <w:sz w:val="24"/>
          <w:szCs w:val="24"/>
        </w:rPr>
        <w:t>5</w:t>
      </w:r>
      <w:r>
        <w:rPr>
          <w:rFonts w:hint="eastAsia" w:ascii="微软雅黑" w:hAnsi="微软雅黑" w:eastAsia="微软雅黑" w:cs="宋体"/>
          <w:sz w:val="24"/>
          <w:szCs w:val="24"/>
        </w:rPr>
        <w:t>、一般系统检查</w:t>
      </w:r>
    </w:p>
    <w:p w14:paraId="6AA3F479">
      <w:pPr>
        <w:numPr>
          <w:ilvl w:val="0"/>
          <w:numId w:val="6"/>
        </w:numPr>
        <w:spacing w:after="60" w:line="276" w:lineRule="auto"/>
        <w:rPr>
          <w:rFonts w:ascii="微软雅黑" w:hAnsi="微软雅黑" w:eastAsia="微软雅黑" w:cs="宋体"/>
          <w:sz w:val="24"/>
          <w:szCs w:val="24"/>
        </w:rPr>
      </w:pPr>
      <w:r>
        <w:rPr>
          <w:rFonts w:hint="eastAsia" w:ascii="微软雅黑" w:hAnsi="微软雅黑" w:eastAsia="微软雅黑" w:cs="宋体"/>
          <w:sz w:val="24"/>
          <w:szCs w:val="24"/>
        </w:rPr>
        <w:t>检查冷凝器，蒸发器水及冷媒之温差</w:t>
      </w:r>
    </w:p>
    <w:p w14:paraId="21978807">
      <w:pPr>
        <w:numPr>
          <w:ilvl w:val="0"/>
          <w:numId w:val="6"/>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检测冷媒系统有否有漏</w:t>
      </w:r>
    </w:p>
    <w:p w14:paraId="5734CDBC">
      <w:pPr>
        <w:numPr>
          <w:ilvl w:val="0"/>
          <w:numId w:val="6"/>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检测不正常之噪音，振动及高温</w:t>
      </w:r>
    </w:p>
    <w:p w14:paraId="2EDDC595">
      <w:pPr>
        <w:numPr>
          <w:ilvl w:val="0"/>
          <w:numId w:val="6"/>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检测及报告损坏之表计</w:t>
      </w:r>
    </w:p>
    <w:p w14:paraId="4DECD246">
      <w:pPr>
        <w:numPr>
          <w:ilvl w:val="0"/>
          <w:numId w:val="6"/>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从窗口检视压缩机油位是否正常</w:t>
      </w:r>
    </w:p>
    <w:p w14:paraId="3DADFA3C">
      <w:pPr>
        <w:numPr>
          <w:ilvl w:val="0"/>
          <w:numId w:val="6"/>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运转主机，检查及报告其操作状况</w:t>
      </w:r>
      <w:r>
        <w:rPr>
          <w:rFonts w:ascii="微软雅黑" w:hAnsi="微软雅黑" w:eastAsia="微软雅黑" w:cs="Times New Roman"/>
          <w:sz w:val="24"/>
          <w:szCs w:val="24"/>
        </w:rPr>
        <w:tab/>
      </w:r>
    </w:p>
    <w:p w14:paraId="7C2AD9A4">
      <w:pPr>
        <w:spacing w:line="276" w:lineRule="auto"/>
        <w:rPr>
          <w:rFonts w:ascii="微软雅黑" w:hAnsi="微软雅黑" w:eastAsia="微软雅黑" w:cs="宋体"/>
          <w:sz w:val="24"/>
          <w:szCs w:val="24"/>
        </w:rPr>
      </w:pPr>
      <w:r>
        <w:rPr>
          <w:rFonts w:ascii="微软雅黑" w:hAnsi="微软雅黑" w:eastAsia="微软雅黑" w:cs="宋体"/>
          <w:sz w:val="24"/>
          <w:szCs w:val="24"/>
        </w:rPr>
        <w:t>6</w:t>
      </w:r>
      <w:r>
        <w:rPr>
          <w:rFonts w:hint="eastAsia" w:ascii="微软雅黑" w:hAnsi="微软雅黑" w:eastAsia="微软雅黑" w:cs="宋体"/>
          <w:sz w:val="24"/>
          <w:szCs w:val="24"/>
        </w:rPr>
        <w:t>、主机清洁及防腐处理</w:t>
      </w:r>
    </w:p>
    <w:p w14:paraId="5A45E0B1">
      <w:pPr>
        <w:spacing w:line="276" w:lineRule="auto"/>
        <w:rPr>
          <w:rFonts w:ascii="微软雅黑" w:hAnsi="微软雅黑" w:eastAsia="微软雅黑" w:cs="Times New Roman"/>
          <w:b/>
          <w:bCs/>
          <w:sz w:val="24"/>
          <w:szCs w:val="24"/>
        </w:rPr>
      </w:pPr>
      <w:r>
        <w:rPr>
          <w:rFonts w:hint="eastAsia" w:ascii="微软雅黑" w:hAnsi="微软雅黑" w:eastAsia="微软雅黑" w:cs="宋体"/>
          <w:b/>
          <w:bCs/>
          <w:sz w:val="24"/>
          <w:szCs w:val="24"/>
        </w:rPr>
        <w:t>年度保养（通常在机组启动前进行）：</w:t>
      </w:r>
    </w:p>
    <w:p w14:paraId="5BBE3C98">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1</w:t>
      </w:r>
      <w:r>
        <w:rPr>
          <w:rFonts w:hint="eastAsia" w:ascii="微软雅黑" w:hAnsi="微软雅黑" w:eastAsia="微软雅黑" w:cs="宋体"/>
          <w:sz w:val="24"/>
          <w:szCs w:val="24"/>
        </w:rPr>
        <w:t>、压缩机马达</w:t>
      </w:r>
    </w:p>
    <w:p w14:paraId="18CC1D69">
      <w:pPr>
        <w:numPr>
          <w:ilvl w:val="0"/>
          <w:numId w:val="7"/>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检测及收紧所有之马达电源端子</w:t>
      </w:r>
    </w:p>
    <w:p w14:paraId="434E5384">
      <w:pPr>
        <w:numPr>
          <w:ilvl w:val="0"/>
          <w:numId w:val="7"/>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检测马达线圈温度传感器奥姆值</w:t>
      </w:r>
    </w:p>
    <w:p w14:paraId="6CCFBEAC">
      <w:pPr>
        <w:numPr>
          <w:ilvl w:val="0"/>
          <w:numId w:val="7"/>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马达线组之绝缘阻抗测试</w:t>
      </w:r>
    </w:p>
    <w:p w14:paraId="31130EFB">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2</w:t>
      </w:r>
      <w:r>
        <w:rPr>
          <w:rFonts w:hint="eastAsia" w:ascii="微软雅黑" w:hAnsi="微软雅黑" w:eastAsia="微软雅黑" w:cs="宋体"/>
          <w:sz w:val="24"/>
          <w:szCs w:val="24"/>
        </w:rPr>
        <w:t>、马达起动控制箱</w:t>
      </w:r>
    </w:p>
    <w:p w14:paraId="2419E040">
      <w:pPr>
        <w:numPr>
          <w:ilvl w:val="0"/>
          <w:numId w:val="8"/>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收紧所有之电源端子</w:t>
      </w:r>
    </w:p>
    <w:p w14:paraId="0DE5DD4E">
      <w:pPr>
        <w:numPr>
          <w:ilvl w:val="0"/>
          <w:numId w:val="8"/>
        </w:numPr>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检测马达起动器的所有其他装置</w:t>
      </w:r>
    </w:p>
    <w:p w14:paraId="6EB7913C">
      <w:pPr>
        <w:numPr>
          <w:ilvl w:val="0"/>
          <w:numId w:val="8"/>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检测各接触器线路端子</w:t>
      </w:r>
    </w:p>
    <w:p w14:paraId="3817B2BF">
      <w:pPr>
        <w:numPr>
          <w:ilvl w:val="0"/>
          <w:numId w:val="8"/>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对马达起动箱除垢</w:t>
      </w:r>
    </w:p>
    <w:p w14:paraId="348E600C">
      <w:pPr>
        <w:numPr>
          <w:ilvl w:val="0"/>
          <w:numId w:val="8"/>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检测马达接线端子温度</w:t>
      </w:r>
    </w:p>
    <w:p w14:paraId="44DDC95B">
      <w:pPr>
        <w:numPr>
          <w:ilvl w:val="0"/>
          <w:numId w:val="8"/>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检测各接触器接点</w:t>
      </w:r>
    </w:p>
    <w:p w14:paraId="0DCE2801">
      <w:pPr>
        <w:numPr>
          <w:ilvl w:val="0"/>
          <w:numId w:val="8"/>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清洁各接触器接点</w:t>
      </w:r>
    </w:p>
    <w:p w14:paraId="04A09FF4">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3</w:t>
      </w:r>
      <w:r>
        <w:rPr>
          <w:rFonts w:hint="eastAsia" w:ascii="微软雅黑" w:hAnsi="微软雅黑" w:eastAsia="微软雅黑" w:cs="宋体"/>
          <w:sz w:val="24"/>
          <w:szCs w:val="24"/>
        </w:rPr>
        <w:t>、润滑系统</w:t>
      </w:r>
    </w:p>
    <w:p w14:paraId="3B572A93">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更换压缩机润滑油</w:t>
      </w:r>
    </w:p>
    <w:p w14:paraId="7585A18A">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检测油槽油位是否正常（运转中）</w:t>
      </w:r>
    </w:p>
    <w:p w14:paraId="7F5511BC">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更换压缩机油过滤器</w:t>
      </w:r>
    </w:p>
    <w:p w14:paraId="1BF8938D">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检测油温控制传感器</w:t>
      </w:r>
    </w:p>
    <w:p w14:paraId="6F24A7AF">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收紧油泵马达电源端子</w:t>
      </w:r>
    </w:p>
    <w:p w14:paraId="1A42A015">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记录马达运转电流</w:t>
      </w:r>
    </w:p>
    <w:p w14:paraId="7499EE77">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检测油泵马达绕阻</w:t>
      </w:r>
    </w:p>
    <w:p w14:paraId="0A553D5F">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检测马达线圈内阻</w:t>
      </w:r>
    </w:p>
    <w:p w14:paraId="66C5498B">
      <w:pPr>
        <w:numPr>
          <w:ilvl w:val="0"/>
          <w:numId w:val="9"/>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检测及除垢处理</w:t>
      </w:r>
    </w:p>
    <w:p w14:paraId="73E08B6E">
      <w:pPr>
        <w:numPr>
          <w:ilvl w:val="0"/>
          <w:numId w:val="9"/>
        </w:numPr>
        <w:snapToGrid w:val="0"/>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进行一次油化验服务并提供化验报告</w:t>
      </w:r>
    </w:p>
    <w:p w14:paraId="05B68585">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4</w:t>
      </w:r>
      <w:r>
        <w:rPr>
          <w:rFonts w:hint="eastAsia" w:ascii="微软雅黑" w:hAnsi="微软雅黑" w:eastAsia="微软雅黑" w:cs="宋体"/>
          <w:sz w:val="24"/>
          <w:szCs w:val="24"/>
        </w:rPr>
        <w:t>、控制及保护电路</w:t>
      </w:r>
    </w:p>
    <w:p w14:paraId="07F5F5A3">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检测及校正低温传感器</w:t>
      </w:r>
    </w:p>
    <w:p w14:paraId="6218B52F">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检测及调整高压开关</w:t>
      </w:r>
    </w:p>
    <w:p w14:paraId="5E523650">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检测及校正高压传感器（选择配备）</w:t>
      </w:r>
    </w:p>
    <w:p w14:paraId="564BEF01">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检测及调整油压调节阀</w:t>
      </w:r>
    </w:p>
    <w:p w14:paraId="71132AB7">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检测油压传感器</w:t>
      </w:r>
    </w:p>
    <w:p w14:paraId="1A9B2792">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检测及调整</w:t>
      </w:r>
      <w:r>
        <w:rPr>
          <w:rFonts w:ascii="微软雅黑" w:hAnsi="微软雅黑" w:eastAsia="微软雅黑" w:cs="Times New Roman"/>
          <w:sz w:val="24"/>
          <w:szCs w:val="24"/>
        </w:rPr>
        <w:t>Guide Vane</w:t>
      </w:r>
      <w:r>
        <w:rPr>
          <w:rFonts w:hint="eastAsia" w:ascii="微软雅黑" w:hAnsi="微软雅黑" w:eastAsia="微软雅黑" w:cs="宋体"/>
          <w:sz w:val="24"/>
          <w:szCs w:val="24"/>
        </w:rPr>
        <w:t>步进马达</w:t>
      </w:r>
    </w:p>
    <w:p w14:paraId="34652928">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润滑所有</w:t>
      </w:r>
      <w:r>
        <w:rPr>
          <w:rFonts w:ascii="微软雅黑" w:hAnsi="微软雅黑" w:eastAsia="微软雅黑" w:cs="Times New Roman"/>
          <w:sz w:val="24"/>
          <w:szCs w:val="24"/>
        </w:rPr>
        <w:t>Guide Vane</w:t>
      </w:r>
      <w:r>
        <w:rPr>
          <w:rFonts w:hint="eastAsia" w:ascii="微软雅黑" w:hAnsi="微软雅黑" w:eastAsia="微软雅黑" w:cs="宋体"/>
          <w:sz w:val="24"/>
          <w:szCs w:val="24"/>
        </w:rPr>
        <w:t>之连杆及传动部份</w:t>
      </w:r>
    </w:p>
    <w:p w14:paraId="099C5E38">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检测冷却水及冰水温度传感器</w:t>
      </w:r>
    </w:p>
    <w:p w14:paraId="563C80BB">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检测及调整冷却水及冷冻水流量开关</w:t>
      </w:r>
    </w:p>
    <w:p w14:paraId="700E1984">
      <w:pPr>
        <w:numPr>
          <w:ilvl w:val="0"/>
          <w:numId w:val="10"/>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校正及调整主机设定参数</w:t>
      </w:r>
    </w:p>
    <w:p w14:paraId="579BD506">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5</w:t>
      </w:r>
      <w:r>
        <w:rPr>
          <w:rFonts w:hint="eastAsia" w:ascii="微软雅黑" w:hAnsi="微软雅黑" w:eastAsia="微软雅黑" w:cs="宋体"/>
          <w:sz w:val="24"/>
          <w:szCs w:val="24"/>
        </w:rPr>
        <w:t>、冷凝器</w:t>
      </w:r>
    </w:p>
    <w:p w14:paraId="77498410">
      <w:pPr>
        <w:numPr>
          <w:ilvl w:val="0"/>
          <w:numId w:val="11"/>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检测水及冷媒之温差</w:t>
      </w:r>
    </w:p>
    <w:p w14:paraId="096466AF">
      <w:pPr>
        <w:numPr>
          <w:ilvl w:val="0"/>
          <w:numId w:val="11"/>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检测冷媒饱和温度传感器</w:t>
      </w:r>
    </w:p>
    <w:p w14:paraId="69D4084C">
      <w:pPr>
        <w:numPr>
          <w:ilvl w:val="0"/>
          <w:numId w:val="11"/>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冷凝器的清洗及通炮，将趋近温度控制在4度以下</w:t>
      </w:r>
    </w:p>
    <w:p w14:paraId="4AB0056D">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6</w:t>
      </w:r>
      <w:r>
        <w:rPr>
          <w:rFonts w:hint="eastAsia" w:ascii="微软雅黑" w:hAnsi="微软雅黑" w:eastAsia="微软雅黑" w:cs="宋体"/>
          <w:sz w:val="24"/>
          <w:szCs w:val="24"/>
        </w:rPr>
        <w:t>、蒸发器</w:t>
      </w:r>
    </w:p>
    <w:p w14:paraId="2BDB2B46">
      <w:pPr>
        <w:numPr>
          <w:ilvl w:val="0"/>
          <w:numId w:val="12"/>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检测水及冷媒之温差</w:t>
      </w:r>
    </w:p>
    <w:p w14:paraId="216AFAF0">
      <w:pPr>
        <w:numPr>
          <w:ilvl w:val="0"/>
          <w:numId w:val="12"/>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检测冷媒饱和温度传感器</w:t>
      </w:r>
    </w:p>
    <w:p w14:paraId="6DC16195">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7</w:t>
      </w:r>
      <w:r>
        <w:rPr>
          <w:rFonts w:hint="eastAsia" w:ascii="微软雅黑" w:hAnsi="微软雅黑" w:eastAsia="微软雅黑" w:cs="宋体"/>
          <w:sz w:val="24"/>
          <w:szCs w:val="24"/>
        </w:rPr>
        <w:t>、抽气系统</w:t>
      </w:r>
    </w:p>
    <w:p w14:paraId="7CB89324">
      <w:pPr>
        <w:numPr>
          <w:ilvl w:val="0"/>
          <w:numId w:val="13"/>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检测电磁阀</w:t>
      </w:r>
    </w:p>
    <w:p w14:paraId="2261E1A7">
      <w:pPr>
        <w:numPr>
          <w:ilvl w:val="0"/>
          <w:numId w:val="13"/>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清洁冷凝盘管铝鳍片</w:t>
      </w:r>
    </w:p>
    <w:p w14:paraId="6A0FA02D">
      <w:pPr>
        <w:numPr>
          <w:ilvl w:val="0"/>
          <w:numId w:val="13"/>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检测马达之绝缘阻抗</w:t>
      </w:r>
    </w:p>
    <w:p w14:paraId="745A5552">
      <w:pPr>
        <w:numPr>
          <w:ilvl w:val="0"/>
          <w:numId w:val="13"/>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抽气系统整组清洁除垢</w:t>
      </w:r>
    </w:p>
    <w:p w14:paraId="0E11042D">
      <w:pPr>
        <w:numPr>
          <w:ilvl w:val="0"/>
          <w:numId w:val="13"/>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检测排气是否正常</w:t>
      </w:r>
    </w:p>
    <w:p w14:paraId="0B57D177">
      <w:pPr>
        <w:numPr>
          <w:ilvl w:val="0"/>
          <w:numId w:val="13"/>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检测冷媒水份指示器</w:t>
      </w:r>
    </w:p>
    <w:p w14:paraId="166A28ED">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8</w:t>
      </w:r>
      <w:r>
        <w:rPr>
          <w:rFonts w:hint="eastAsia" w:ascii="微软雅黑" w:hAnsi="微软雅黑" w:eastAsia="微软雅黑" w:cs="宋体"/>
          <w:sz w:val="24"/>
          <w:szCs w:val="24"/>
        </w:rPr>
        <w:t>、开机运转测试</w:t>
      </w:r>
    </w:p>
    <w:p w14:paraId="6B4F405A">
      <w:pPr>
        <w:numPr>
          <w:ilvl w:val="0"/>
          <w:numId w:val="14"/>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检测马达线圈温度传感器</w:t>
      </w:r>
    </w:p>
    <w:p w14:paraId="0DC793EC">
      <w:pPr>
        <w:numPr>
          <w:ilvl w:val="0"/>
          <w:numId w:val="14"/>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油槽窗口油位是否正常</w:t>
      </w:r>
    </w:p>
    <w:p w14:paraId="50C5BE1F">
      <w:pPr>
        <w:numPr>
          <w:ilvl w:val="0"/>
          <w:numId w:val="14"/>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从窗口检测抽气回收分离器，若有水份将其排除</w:t>
      </w:r>
    </w:p>
    <w:p w14:paraId="0525D7E1">
      <w:pPr>
        <w:numPr>
          <w:ilvl w:val="0"/>
          <w:numId w:val="14"/>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检测不正常之噪音，振动及高温</w:t>
      </w:r>
    </w:p>
    <w:p w14:paraId="744E1FFF">
      <w:pPr>
        <w:numPr>
          <w:ilvl w:val="0"/>
          <w:numId w:val="14"/>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检测及报告损坏之零件</w:t>
      </w:r>
    </w:p>
    <w:p w14:paraId="541D0032">
      <w:pPr>
        <w:numPr>
          <w:ilvl w:val="0"/>
          <w:numId w:val="14"/>
        </w:num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检测及报告其操作状况、</w:t>
      </w:r>
    </w:p>
    <w:p w14:paraId="695749D4">
      <w:pPr>
        <w:spacing w:line="276" w:lineRule="auto"/>
        <w:rPr>
          <w:rFonts w:ascii="微软雅黑" w:hAnsi="微软雅黑" w:eastAsia="微软雅黑" w:cs="Times New Roman"/>
          <w:sz w:val="24"/>
          <w:szCs w:val="24"/>
        </w:rPr>
      </w:pPr>
      <w:r>
        <w:rPr>
          <w:rFonts w:hint="eastAsia" w:ascii="微软雅黑" w:hAnsi="微软雅黑" w:eastAsia="微软雅黑" w:cs="宋体"/>
          <w:sz w:val="24"/>
          <w:szCs w:val="24"/>
        </w:rPr>
        <w:t>备注：详细的服务内容和结果可请参考保养时的检查记录表。</w:t>
      </w:r>
    </w:p>
    <w:p w14:paraId="15574E69">
      <w:pPr>
        <w:spacing w:line="276" w:lineRule="auto"/>
        <w:rPr>
          <w:rFonts w:ascii="微软雅黑" w:hAnsi="微软雅黑" w:eastAsia="微软雅黑" w:cs="宋体"/>
          <w:sz w:val="24"/>
          <w:szCs w:val="24"/>
        </w:rPr>
      </w:pPr>
    </w:p>
    <w:p w14:paraId="60342396">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附件二：</w:t>
      </w:r>
      <w:r>
        <w:rPr>
          <w:rFonts w:ascii="微软雅黑" w:hAnsi="微软雅黑" w:eastAsia="微软雅黑" w:cs="宋体"/>
          <w:b/>
          <w:bCs/>
          <w:sz w:val="24"/>
          <w:szCs w:val="24"/>
        </w:rPr>
        <w:t>TRANE RTAA/RTXA+机组保养程序</w:t>
      </w:r>
    </w:p>
    <w:p w14:paraId="5814AEC1">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应急服务：</w:t>
      </w:r>
    </w:p>
    <w:p w14:paraId="7ADC93E4">
      <w:pPr>
        <w:numPr>
          <w:ilvl w:val="0"/>
          <w:numId w:val="15"/>
        </w:numPr>
        <w:tabs>
          <w:tab w:val="left" w:pos="426"/>
        </w:tabs>
        <w:spacing w:line="276" w:lineRule="auto"/>
        <w:ind w:left="426" w:hanging="426"/>
        <w:rPr>
          <w:rFonts w:ascii="微软雅黑" w:hAnsi="微软雅黑" w:eastAsia="微软雅黑" w:cs="宋体"/>
          <w:sz w:val="24"/>
          <w:szCs w:val="24"/>
        </w:rPr>
      </w:pPr>
      <w:r>
        <w:rPr>
          <w:rFonts w:hint="eastAsia" w:ascii="微软雅黑" w:hAnsi="微软雅黑" w:eastAsia="微软雅黑" w:cs="宋体"/>
          <w:sz w:val="24"/>
          <w:szCs w:val="24"/>
        </w:rPr>
        <w:t>提供设备故障紧急咨询服务</w:t>
      </w:r>
    </w:p>
    <w:p w14:paraId="40193AA7">
      <w:pPr>
        <w:numPr>
          <w:ilvl w:val="0"/>
          <w:numId w:val="15"/>
        </w:numPr>
        <w:tabs>
          <w:tab w:val="left" w:pos="426"/>
        </w:tabs>
        <w:spacing w:line="276" w:lineRule="auto"/>
        <w:ind w:left="426" w:hanging="426"/>
        <w:rPr>
          <w:rFonts w:ascii="微软雅黑" w:hAnsi="微软雅黑" w:eastAsia="微软雅黑" w:cs="宋体"/>
          <w:sz w:val="24"/>
          <w:szCs w:val="24"/>
        </w:rPr>
      </w:pPr>
      <w:r>
        <w:rPr>
          <w:rFonts w:hint="eastAsia" w:ascii="微软雅黑" w:hAnsi="微软雅黑" w:eastAsia="微软雅黑" w:cs="宋体"/>
          <w:sz w:val="24"/>
          <w:szCs w:val="24"/>
        </w:rPr>
        <w:t>接到用户通知后，提供设备故障排除服务</w:t>
      </w:r>
    </w:p>
    <w:p w14:paraId="7D0D6AE7">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风冷机组月度保养：</w:t>
      </w:r>
    </w:p>
    <w:p w14:paraId="731D593F">
      <w:pPr>
        <w:spacing w:line="276" w:lineRule="auto"/>
        <w:rPr>
          <w:rFonts w:ascii="微软雅黑" w:hAnsi="微软雅黑" w:eastAsia="微软雅黑" w:cs="宋体"/>
          <w:sz w:val="24"/>
          <w:szCs w:val="24"/>
        </w:rPr>
      </w:pPr>
      <w:r>
        <w:rPr>
          <w:rFonts w:ascii="微软雅黑" w:hAnsi="微软雅黑" w:eastAsia="微软雅黑" w:cs="宋体"/>
          <w:sz w:val="24"/>
          <w:szCs w:val="24"/>
        </w:rPr>
        <w:t>1、对下列各项每月检查维修一次</w:t>
      </w:r>
    </w:p>
    <w:p w14:paraId="27EE1061">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及时处理日常运行出现的故障，确保设备正常运行；</w:t>
      </w:r>
    </w:p>
    <w:p w14:paraId="1F66E4A1">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检查压缩机油位、油温、油压；</w:t>
      </w:r>
    </w:p>
    <w:p w14:paraId="4CEEAFC1">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检查冷凝器及蒸发器压力，冷凝器及蒸发器的温度；</w:t>
      </w:r>
    </w:p>
    <w:p w14:paraId="4E0C39A2">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运转机组，检查操作状况；</w:t>
      </w:r>
    </w:p>
    <w:p w14:paraId="2B0DE852">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检查控制电路、控制电气元件、继电器及保险丝；</w:t>
      </w:r>
    </w:p>
    <w:p w14:paraId="28A000B0">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检查冷媒运行情况及排气装置，检查机组有无空气和水泄漏点；</w:t>
      </w:r>
    </w:p>
    <w:p w14:paraId="5E7076ED">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检查不正常的声响和震动；</w:t>
      </w:r>
    </w:p>
    <w:p w14:paraId="144254E0">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检查控制屏、接触器及保护元件；</w:t>
      </w:r>
    </w:p>
    <w:p w14:paraId="19D670BA">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检查阀门及导叶控制联动装置；</w:t>
      </w:r>
    </w:p>
    <w:p w14:paraId="3208A914">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提交每月检查报告及每季维修报告。</w:t>
      </w:r>
    </w:p>
    <w:p w14:paraId="2CB0DDBD">
      <w:pPr>
        <w:widowControl/>
        <w:numPr>
          <w:ilvl w:val="0"/>
          <w:numId w:val="16"/>
        </w:numPr>
        <w:spacing w:line="276" w:lineRule="auto"/>
        <w:ind w:left="284" w:firstLine="141" w:firstLineChars="59"/>
        <w:jc w:val="left"/>
        <w:rPr>
          <w:rFonts w:ascii="微软雅黑" w:hAnsi="微软雅黑" w:eastAsia="微软雅黑" w:cs="宋体"/>
          <w:sz w:val="24"/>
          <w:szCs w:val="24"/>
        </w:rPr>
      </w:pPr>
      <w:r>
        <w:rPr>
          <w:rFonts w:hint="eastAsia" w:ascii="微软雅黑" w:hAnsi="微软雅黑" w:eastAsia="微软雅黑" w:cs="宋体"/>
          <w:sz w:val="24"/>
          <w:szCs w:val="24"/>
        </w:rPr>
        <w:t>清洗冷凝器，使之保持最佳工作状态</w:t>
      </w:r>
    </w:p>
    <w:p w14:paraId="25EC8578">
      <w:pPr>
        <w:spacing w:line="276" w:lineRule="auto"/>
        <w:rPr>
          <w:rFonts w:ascii="微软雅黑" w:hAnsi="微软雅黑" w:eastAsia="微软雅黑" w:cs="宋体"/>
          <w:sz w:val="24"/>
          <w:szCs w:val="24"/>
        </w:rPr>
      </w:pPr>
      <w:r>
        <w:rPr>
          <w:rFonts w:ascii="微软雅黑" w:hAnsi="微软雅黑" w:eastAsia="微软雅黑" w:cs="宋体"/>
          <w:sz w:val="24"/>
          <w:szCs w:val="24"/>
        </w:rPr>
        <w:t>2、每年年终全面检查维修一次</w:t>
      </w:r>
    </w:p>
    <w:p w14:paraId="516AF964">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系统探漏、排气装置维修；</w:t>
      </w:r>
    </w:p>
    <w:p w14:paraId="55AE4F0E">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检查及根据油样分析，更换压缩机机油；</w:t>
      </w:r>
    </w:p>
    <w:p w14:paraId="5BA2BB7A">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检查及更换干燥过滤器；</w:t>
      </w:r>
    </w:p>
    <w:p w14:paraId="379472CC">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检查压缩机马达绝缘；</w:t>
      </w:r>
    </w:p>
    <w:p w14:paraId="44F67B9F">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检查安全保护元件、继电器及接触器；</w:t>
      </w:r>
    </w:p>
    <w:p w14:paraId="48B2E7EA">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检查压缩机运转情况；</w:t>
      </w:r>
    </w:p>
    <w:p w14:paraId="176C63C7">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检查清理电子控制屏、接触器及保护元件；</w:t>
      </w:r>
    </w:p>
    <w:p w14:paraId="6ED56C8F">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检查冷媒运行，冷凝器及蒸发器的温度及压力；</w:t>
      </w:r>
    </w:p>
    <w:p w14:paraId="058D27A4">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检查冷凝器及蒸发器有无水管泄漏，排管是否清洁，如需要，清洗冷凝管；</w:t>
      </w:r>
    </w:p>
    <w:p w14:paraId="5ED629B1">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检查不正常的声响及震动；</w:t>
      </w:r>
    </w:p>
    <w:p w14:paraId="07684DF1">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运行制冷机组，检查操作状况，冬季停机时期维护保养；</w:t>
      </w:r>
    </w:p>
    <w:p w14:paraId="755213E3">
      <w:pPr>
        <w:widowControl/>
        <w:numPr>
          <w:ilvl w:val="0"/>
          <w:numId w:val="17"/>
        </w:numPr>
        <w:spacing w:line="276" w:lineRule="auto"/>
        <w:ind w:left="360" w:firstLine="64" w:firstLineChars="27"/>
        <w:jc w:val="left"/>
        <w:rPr>
          <w:rFonts w:ascii="微软雅黑" w:hAnsi="微软雅黑" w:eastAsia="微软雅黑" w:cs="宋体"/>
          <w:sz w:val="24"/>
          <w:szCs w:val="24"/>
        </w:rPr>
      </w:pPr>
      <w:r>
        <w:rPr>
          <w:rFonts w:hint="eastAsia" w:ascii="微软雅黑" w:hAnsi="微软雅黑" w:eastAsia="微软雅黑" w:cs="宋体"/>
          <w:sz w:val="24"/>
          <w:szCs w:val="24"/>
        </w:rPr>
        <w:t>提交年终检查维修情况报告。</w:t>
      </w:r>
    </w:p>
    <w:p w14:paraId="541AA5AF">
      <w:pPr>
        <w:tabs>
          <w:tab w:val="left" w:pos="-450"/>
        </w:tabs>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备注：详细的服务内容和结果可请参考保养时的检查记录表。</w:t>
      </w:r>
    </w:p>
    <w:p w14:paraId="1D9F18F8">
      <w:pPr>
        <w:tabs>
          <w:tab w:val="left" w:pos="-450"/>
        </w:tabs>
        <w:spacing w:line="276" w:lineRule="auto"/>
        <w:rPr>
          <w:rFonts w:ascii="微软雅黑" w:hAnsi="微软雅黑" w:eastAsia="微软雅黑" w:cs="宋体"/>
          <w:sz w:val="24"/>
          <w:szCs w:val="24"/>
        </w:rPr>
      </w:pPr>
    </w:p>
    <w:p w14:paraId="68D0C86C">
      <w:pPr>
        <w:spacing w:line="276" w:lineRule="auto"/>
        <w:rPr>
          <w:rFonts w:ascii="微软雅黑" w:hAnsi="微软雅黑" w:eastAsia="微软雅黑" w:cs="宋体"/>
          <w:b/>
          <w:bCs/>
          <w:sz w:val="24"/>
          <w:szCs w:val="24"/>
        </w:rPr>
      </w:pPr>
      <w:r>
        <w:rPr>
          <w:rFonts w:hint="eastAsia" w:ascii="微软雅黑" w:hAnsi="微软雅黑" w:eastAsia="微软雅黑" w:cs="宋体"/>
          <w:b/>
          <w:bCs/>
          <w:sz w:val="24"/>
          <w:szCs w:val="24"/>
        </w:rPr>
        <w:t>附件三：螺杆机组保养程序</w:t>
      </w:r>
    </w:p>
    <w:p w14:paraId="02D3432D">
      <w:pPr>
        <w:spacing w:line="276" w:lineRule="auto"/>
        <w:rPr>
          <w:rFonts w:ascii="微软雅黑" w:hAnsi="微软雅黑" w:eastAsia="微软雅黑" w:cs="Times New Roman"/>
          <w:b/>
          <w:bCs/>
          <w:sz w:val="24"/>
          <w:szCs w:val="24"/>
        </w:rPr>
      </w:pPr>
      <w:r>
        <w:rPr>
          <w:rFonts w:ascii="微软雅黑" w:hAnsi="微软雅黑" w:eastAsia="微软雅黑" w:cs="Times New Roman"/>
          <w:b/>
          <w:bCs/>
          <w:sz w:val="24"/>
          <w:szCs w:val="24"/>
        </w:rPr>
        <w:t>A</w:t>
      </w:r>
      <w:r>
        <w:rPr>
          <w:rFonts w:hint="eastAsia" w:ascii="微软雅黑" w:hAnsi="微软雅黑" w:eastAsia="微软雅黑" w:cs="Times New Roman"/>
          <w:b/>
          <w:bCs/>
          <w:sz w:val="24"/>
          <w:szCs w:val="24"/>
        </w:rPr>
        <w:t>、应急服务</w:t>
      </w:r>
    </w:p>
    <w:p w14:paraId="0A4D1CDF">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1</w:t>
      </w:r>
      <w:r>
        <w:rPr>
          <w:rFonts w:hint="eastAsia" w:ascii="微软雅黑" w:hAnsi="微软雅黑" w:eastAsia="微软雅黑" w:cs="Times New Roman"/>
          <w:sz w:val="24"/>
          <w:szCs w:val="24"/>
        </w:rPr>
        <w:t>、提供设备故障紧急咨询服务</w:t>
      </w:r>
    </w:p>
    <w:p w14:paraId="2C536289">
      <w:pPr>
        <w:tabs>
          <w:tab w:val="left" w:pos="426"/>
          <w:tab w:val="left" w:pos="840"/>
        </w:tabs>
        <w:spacing w:line="276" w:lineRule="auto"/>
        <w:rPr>
          <w:rFonts w:ascii="微软雅黑" w:hAnsi="微软雅黑" w:eastAsia="微软雅黑" w:cs="宋体"/>
          <w:sz w:val="24"/>
          <w:szCs w:val="24"/>
        </w:rPr>
      </w:pPr>
      <w:r>
        <w:rPr>
          <w:rFonts w:hint="eastAsia" w:ascii="微软雅黑" w:hAnsi="微软雅黑" w:eastAsia="微软雅黑" w:cs="宋体"/>
          <w:sz w:val="24"/>
          <w:szCs w:val="24"/>
        </w:rPr>
        <w:t>2、接到用户通知后，提供设备故障排除服务</w:t>
      </w:r>
    </w:p>
    <w:p w14:paraId="48CF7C34">
      <w:pPr>
        <w:spacing w:line="276" w:lineRule="auto"/>
        <w:rPr>
          <w:rFonts w:ascii="微软雅黑" w:hAnsi="微软雅黑" w:eastAsia="微软雅黑" w:cs="Times New Roman"/>
          <w:b/>
          <w:bCs/>
          <w:sz w:val="24"/>
          <w:szCs w:val="24"/>
        </w:rPr>
      </w:pPr>
      <w:r>
        <w:rPr>
          <w:rFonts w:ascii="微软雅黑" w:hAnsi="微软雅黑" w:eastAsia="微软雅黑" w:cs="Times New Roman"/>
          <w:b/>
          <w:bCs/>
          <w:sz w:val="24"/>
          <w:szCs w:val="24"/>
        </w:rPr>
        <w:t>B</w:t>
      </w:r>
      <w:r>
        <w:rPr>
          <w:rFonts w:hint="eastAsia" w:ascii="微软雅黑" w:hAnsi="微软雅黑" w:eastAsia="微软雅黑" w:cs="Times New Roman"/>
          <w:b/>
          <w:bCs/>
          <w:sz w:val="24"/>
          <w:szCs w:val="24"/>
        </w:rPr>
        <w:t>、在机组运行期间常规保养</w:t>
      </w:r>
    </w:p>
    <w:p w14:paraId="710B2C9B">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1</w:t>
      </w:r>
      <w:r>
        <w:rPr>
          <w:rFonts w:hint="eastAsia" w:ascii="微软雅黑" w:hAnsi="微软雅黑" w:eastAsia="微软雅黑" w:cs="Times New Roman"/>
          <w:sz w:val="24"/>
          <w:szCs w:val="24"/>
        </w:rPr>
        <w:t>、压缩机马达</w:t>
      </w:r>
    </w:p>
    <w:p w14:paraId="51728AC2">
      <w:pPr>
        <w:numPr>
          <w:ilvl w:val="0"/>
          <w:numId w:val="18"/>
        </w:numPr>
        <w:spacing w:line="276" w:lineRule="auto"/>
        <w:ind w:left="476" w:hanging="357"/>
        <w:rPr>
          <w:rFonts w:ascii="微软雅黑" w:hAnsi="微软雅黑" w:eastAsia="微软雅黑" w:cs="Times New Roman"/>
          <w:sz w:val="24"/>
          <w:szCs w:val="24"/>
        </w:rPr>
      </w:pPr>
      <w:r>
        <w:rPr>
          <w:rFonts w:hint="eastAsia" w:ascii="微软雅黑" w:hAnsi="微软雅黑" w:eastAsia="微软雅黑" w:cs="Times New Roman"/>
          <w:sz w:val="24"/>
          <w:szCs w:val="24"/>
        </w:rPr>
        <w:t>检测及收紧所有之马达电源端子</w:t>
      </w:r>
    </w:p>
    <w:p w14:paraId="17EAFD6B">
      <w:pPr>
        <w:numPr>
          <w:ilvl w:val="0"/>
          <w:numId w:val="18"/>
        </w:numPr>
        <w:spacing w:line="276" w:lineRule="auto"/>
        <w:ind w:left="476" w:hanging="357"/>
        <w:rPr>
          <w:rFonts w:ascii="微软雅黑" w:hAnsi="微软雅黑" w:eastAsia="微软雅黑" w:cs="Times New Roman"/>
          <w:sz w:val="24"/>
          <w:szCs w:val="24"/>
        </w:rPr>
      </w:pPr>
      <w:r>
        <w:rPr>
          <w:rFonts w:hint="eastAsia" w:ascii="微软雅黑" w:hAnsi="微软雅黑" w:eastAsia="微软雅黑" w:cs="Times New Roman"/>
          <w:sz w:val="24"/>
          <w:szCs w:val="24"/>
        </w:rPr>
        <w:t>检测马达线圈温度传感器欧姆值</w:t>
      </w:r>
    </w:p>
    <w:p w14:paraId="7FD3AD6F">
      <w:pPr>
        <w:numPr>
          <w:ilvl w:val="0"/>
          <w:numId w:val="18"/>
        </w:numPr>
        <w:spacing w:line="276" w:lineRule="auto"/>
        <w:ind w:left="476" w:hanging="357"/>
        <w:rPr>
          <w:rFonts w:ascii="微软雅黑" w:hAnsi="微软雅黑" w:eastAsia="微软雅黑" w:cs="Times New Roman"/>
          <w:sz w:val="24"/>
          <w:szCs w:val="24"/>
        </w:rPr>
      </w:pPr>
      <w:r>
        <w:rPr>
          <w:rFonts w:hint="eastAsia" w:ascii="微软雅黑" w:hAnsi="微软雅黑" w:eastAsia="微软雅黑" w:cs="Times New Roman"/>
          <w:sz w:val="24"/>
          <w:szCs w:val="24"/>
        </w:rPr>
        <w:t>提供设备对马达线组之绝缘阻抗测试</w:t>
      </w:r>
    </w:p>
    <w:p w14:paraId="3190BF59">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2</w:t>
      </w:r>
      <w:r>
        <w:rPr>
          <w:rFonts w:hint="eastAsia" w:ascii="微软雅黑" w:hAnsi="微软雅黑" w:eastAsia="微软雅黑" w:cs="Times New Roman"/>
          <w:sz w:val="24"/>
          <w:szCs w:val="24"/>
        </w:rPr>
        <w:t>、马达起动控制箱</w:t>
      </w:r>
    </w:p>
    <w:p w14:paraId="487E487D">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收紧所有之电源端子</w:t>
      </w:r>
    </w:p>
    <w:p w14:paraId="0A2C211F">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检测马达起动器的所有其它装置</w:t>
      </w:r>
    </w:p>
    <w:p w14:paraId="3967F6E2">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检测各接触器线路端子</w:t>
      </w:r>
    </w:p>
    <w:p w14:paraId="2846458A">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对马达起动箱除垢并进行保护处理</w:t>
      </w:r>
    </w:p>
    <w:p w14:paraId="6F795F87">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检测马达接线端子温度</w:t>
      </w:r>
    </w:p>
    <w:p w14:paraId="63BD46E6">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检测各接触器接点</w:t>
      </w:r>
    </w:p>
    <w:p w14:paraId="584A978C">
      <w:pPr>
        <w:numPr>
          <w:ilvl w:val="0"/>
          <w:numId w:val="1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保护性的处理各接触器接点</w:t>
      </w:r>
    </w:p>
    <w:p w14:paraId="7E455DA8">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3</w:t>
      </w:r>
      <w:r>
        <w:rPr>
          <w:rFonts w:hint="eastAsia" w:ascii="微软雅黑" w:hAnsi="微软雅黑" w:eastAsia="微软雅黑" w:cs="Times New Roman"/>
          <w:sz w:val="24"/>
          <w:szCs w:val="24"/>
        </w:rPr>
        <w:t>、润滑系统</w:t>
      </w:r>
    </w:p>
    <w:p w14:paraId="4D96745D">
      <w:pPr>
        <w:numPr>
          <w:ilvl w:val="0"/>
          <w:numId w:val="20"/>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检测油槽油位是否正常（运转中）</w:t>
      </w:r>
    </w:p>
    <w:p w14:paraId="415B1895">
      <w:pPr>
        <w:numPr>
          <w:ilvl w:val="0"/>
          <w:numId w:val="20"/>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检测油温控制传感器</w:t>
      </w:r>
    </w:p>
    <w:p w14:paraId="60457C8F">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4</w:t>
      </w:r>
      <w:r>
        <w:rPr>
          <w:rFonts w:hint="eastAsia" w:ascii="微软雅黑" w:hAnsi="微软雅黑" w:eastAsia="微软雅黑" w:cs="Times New Roman"/>
          <w:sz w:val="24"/>
          <w:szCs w:val="24"/>
        </w:rPr>
        <w:t>、控制及保护电路</w:t>
      </w:r>
    </w:p>
    <w:p w14:paraId="1A6581CC">
      <w:pPr>
        <w:numPr>
          <w:ilvl w:val="0"/>
          <w:numId w:val="2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检测及校正低温传感器</w:t>
      </w:r>
    </w:p>
    <w:p w14:paraId="34FE269A">
      <w:pPr>
        <w:numPr>
          <w:ilvl w:val="0"/>
          <w:numId w:val="2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检测及调整高压开关</w:t>
      </w:r>
    </w:p>
    <w:p w14:paraId="52A01D78">
      <w:pPr>
        <w:numPr>
          <w:ilvl w:val="0"/>
          <w:numId w:val="2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检测及校正高压传感器（选择配备）</w:t>
      </w:r>
    </w:p>
    <w:p w14:paraId="19A434B6">
      <w:pPr>
        <w:numPr>
          <w:ilvl w:val="0"/>
          <w:numId w:val="2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检测冷却水及冰水温度传感器</w:t>
      </w:r>
    </w:p>
    <w:p w14:paraId="510B8F2E">
      <w:pPr>
        <w:numPr>
          <w:ilvl w:val="0"/>
          <w:numId w:val="2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检测及调整冷却水及冷冻水流量开关</w:t>
      </w:r>
    </w:p>
    <w:p w14:paraId="5483FA44">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5</w:t>
      </w:r>
      <w:r>
        <w:rPr>
          <w:rFonts w:hint="eastAsia" w:ascii="微软雅黑" w:hAnsi="微软雅黑" w:eastAsia="微软雅黑" w:cs="Times New Roman"/>
          <w:sz w:val="24"/>
          <w:szCs w:val="24"/>
        </w:rPr>
        <w:t>、冷凝器</w:t>
      </w:r>
    </w:p>
    <w:p w14:paraId="67C638E2">
      <w:pPr>
        <w:numPr>
          <w:ilvl w:val="0"/>
          <w:numId w:val="22"/>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检测水及冷媒之温差并调整</w:t>
      </w:r>
    </w:p>
    <w:p w14:paraId="501BCCAB">
      <w:pPr>
        <w:numPr>
          <w:ilvl w:val="0"/>
          <w:numId w:val="22"/>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检测冷媒饱和温度传感器</w:t>
      </w:r>
    </w:p>
    <w:p w14:paraId="1B1F219B">
      <w:pPr>
        <w:numPr>
          <w:ilvl w:val="0"/>
          <w:numId w:val="22"/>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检测冷媒饱和压力传感器</w:t>
      </w:r>
    </w:p>
    <w:p w14:paraId="11FF112F">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6</w:t>
      </w:r>
      <w:r>
        <w:rPr>
          <w:rFonts w:hint="eastAsia" w:ascii="微软雅黑" w:hAnsi="微软雅黑" w:eastAsia="微软雅黑" w:cs="Times New Roman"/>
          <w:sz w:val="24"/>
          <w:szCs w:val="24"/>
        </w:rPr>
        <w:t>、蒸发器</w:t>
      </w:r>
    </w:p>
    <w:p w14:paraId="53552C26">
      <w:pPr>
        <w:numPr>
          <w:ilvl w:val="0"/>
          <w:numId w:val="23"/>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检测水及冷媒之温差并调整</w:t>
      </w:r>
    </w:p>
    <w:p w14:paraId="4F1EFDD2">
      <w:pPr>
        <w:numPr>
          <w:ilvl w:val="0"/>
          <w:numId w:val="23"/>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检测冷媒饱和温度传感器</w:t>
      </w:r>
    </w:p>
    <w:p w14:paraId="197FDD8E">
      <w:pPr>
        <w:numPr>
          <w:ilvl w:val="0"/>
          <w:numId w:val="23"/>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检测及校正冷媒蒸发压力</w:t>
      </w:r>
    </w:p>
    <w:p w14:paraId="6A4FC1B8">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7</w:t>
      </w:r>
      <w:r>
        <w:rPr>
          <w:rFonts w:hint="eastAsia" w:ascii="微软雅黑" w:hAnsi="微软雅黑" w:eastAsia="微软雅黑" w:cs="Times New Roman"/>
          <w:sz w:val="24"/>
          <w:szCs w:val="24"/>
        </w:rPr>
        <w:t>、一般系统检查</w:t>
      </w:r>
    </w:p>
    <w:p w14:paraId="7FD634C3">
      <w:pPr>
        <w:numPr>
          <w:ilvl w:val="0"/>
          <w:numId w:val="24"/>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w:t>
      </w:r>
      <w:r>
        <w:rPr>
          <w:rFonts w:ascii="微软雅黑" w:hAnsi="微软雅黑" w:eastAsia="微软雅黑" w:cs="Times New Roman"/>
          <w:sz w:val="24"/>
          <w:szCs w:val="24"/>
        </w:rPr>
        <w:t xml:space="preserve">SLIDE VALVE </w:t>
      </w:r>
      <w:r>
        <w:rPr>
          <w:rFonts w:hint="eastAsia" w:ascii="微软雅黑" w:hAnsi="微软雅黑" w:eastAsia="微软雅黑" w:cs="Times New Roman"/>
          <w:sz w:val="24"/>
          <w:szCs w:val="24"/>
        </w:rPr>
        <w:t>之功能</w:t>
      </w:r>
    </w:p>
    <w:p w14:paraId="088E7743">
      <w:pPr>
        <w:numPr>
          <w:ilvl w:val="0"/>
          <w:numId w:val="24"/>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检测不正常之噪音，振动及高温</w:t>
      </w:r>
    </w:p>
    <w:p w14:paraId="75DF28D6">
      <w:pPr>
        <w:numPr>
          <w:ilvl w:val="0"/>
          <w:numId w:val="24"/>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检测及报告机组之温度计及压力表</w:t>
      </w:r>
      <w:r>
        <w:rPr>
          <w:rFonts w:ascii="微软雅黑" w:hAnsi="微软雅黑" w:eastAsia="微软雅黑" w:cs="Times New Roman"/>
          <w:sz w:val="24"/>
          <w:szCs w:val="24"/>
        </w:rPr>
        <w:t>d.</w:t>
      </w:r>
      <w:r>
        <w:rPr>
          <w:rFonts w:hint="eastAsia" w:ascii="微软雅黑" w:hAnsi="微软雅黑" w:eastAsia="微软雅黑" w:cs="Times New Roman"/>
          <w:sz w:val="24"/>
          <w:szCs w:val="24"/>
        </w:rPr>
        <w:t>运转主机，检查及报告其操作状况</w:t>
      </w:r>
      <w:r>
        <w:rPr>
          <w:rFonts w:ascii="微软雅黑" w:hAnsi="微软雅黑" w:eastAsia="微软雅黑" w:cs="Times New Roman"/>
          <w:sz w:val="24"/>
          <w:szCs w:val="24"/>
        </w:rPr>
        <w:tab/>
      </w:r>
    </w:p>
    <w:p w14:paraId="2F7259C4">
      <w:pPr>
        <w:spacing w:line="276" w:lineRule="auto"/>
        <w:rPr>
          <w:rFonts w:ascii="微软雅黑" w:hAnsi="微软雅黑" w:eastAsia="微软雅黑" w:cs="Times New Roman"/>
          <w:b/>
          <w:bCs/>
          <w:sz w:val="24"/>
          <w:szCs w:val="24"/>
        </w:rPr>
      </w:pPr>
      <w:r>
        <w:rPr>
          <w:rFonts w:hint="eastAsia" w:ascii="微软雅黑" w:hAnsi="微软雅黑" w:eastAsia="微软雅黑" w:cs="Times New Roman"/>
          <w:b/>
          <w:bCs/>
          <w:sz w:val="24"/>
          <w:szCs w:val="24"/>
        </w:rPr>
        <w:t>年度保养服务项目（通常在机组冬季停机后或夏季开机前进行</w:t>
      </w:r>
      <w:r>
        <w:rPr>
          <w:rFonts w:ascii="微软雅黑" w:hAnsi="微软雅黑" w:eastAsia="微软雅黑" w:cs="Times New Roman"/>
          <w:b/>
          <w:bCs/>
          <w:sz w:val="24"/>
          <w:szCs w:val="24"/>
        </w:rPr>
        <w:t>1</w:t>
      </w:r>
      <w:r>
        <w:rPr>
          <w:rFonts w:hint="eastAsia" w:ascii="微软雅黑" w:hAnsi="微软雅黑" w:eastAsia="微软雅黑" w:cs="Times New Roman"/>
          <w:b/>
          <w:bCs/>
          <w:sz w:val="24"/>
          <w:szCs w:val="24"/>
        </w:rPr>
        <w:t>次</w:t>
      </w:r>
      <w:r>
        <w:rPr>
          <w:rFonts w:ascii="微软雅黑" w:hAnsi="微软雅黑" w:eastAsia="微软雅黑" w:cs="Times New Roman"/>
          <w:b/>
          <w:bCs/>
          <w:sz w:val="24"/>
          <w:szCs w:val="24"/>
        </w:rPr>
        <w:t>)</w:t>
      </w:r>
    </w:p>
    <w:p w14:paraId="5BF789B1">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1</w:t>
      </w:r>
      <w:r>
        <w:rPr>
          <w:rFonts w:hint="eastAsia" w:ascii="微软雅黑" w:hAnsi="微软雅黑" w:eastAsia="微软雅黑" w:cs="Times New Roman"/>
          <w:sz w:val="24"/>
          <w:szCs w:val="24"/>
        </w:rPr>
        <w:t>、压缩机马达</w:t>
      </w:r>
    </w:p>
    <w:p w14:paraId="12A4629D">
      <w:pPr>
        <w:numPr>
          <w:ilvl w:val="0"/>
          <w:numId w:val="25"/>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检测及收紧所有之马达电源端子</w:t>
      </w:r>
    </w:p>
    <w:p w14:paraId="03C562EA">
      <w:pPr>
        <w:numPr>
          <w:ilvl w:val="0"/>
          <w:numId w:val="25"/>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检测马达线圈温度传感器欧姆值</w:t>
      </w:r>
    </w:p>
    <w:p w14:paraId="332C0FB8">
      <w:pPr>
        <w:numPr>
          <w:ilvl w:val="0"/>
          <w:numId w:val="25"/>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提供设备对马达线组之绝缘阻抗测试</w:t>
      </w:r>
    </w:p>
    <w:p w14:paraId="48EF5ABB">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2</w:t>
      </w:r>
      <w:r>
        <w:rPr>
          <w:rFonts w:hint="eastAsia" w:ascii="微软雅黑" w:hAnsi="微软雅黑" w:eastAsia="微软雅黑" w:cs="Times New Roman"/>
          <w:sz w:val="24"/>
          <w:szCs w:val="24"/>
        </w:rPr>
        <w:t>、马达起动控制箱</w:t>
      </w:r>
    </w:p>
    <w:p w14:paraId="6A2F81D2">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收紧所有之电源端子</w:t>
      </w:r>
    </w:p>
    <w:p w14:paraId="3654DEEC">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检测马达起动器的所有其它装置</w:t>
      </w:r>
    </w:p>
    <w:p w14:paraId="1C64C020">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检测各接触器线路端子</w:t>
      </w:r>
    </w:p>
    <w:p w14:paraId="712DB945">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对马达起动箱除垢</w:t>
      </w:r>
    </w:p>
    <w:p w14:paraId="68D98D71">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检测马达接线端子温度</w:t>
      </w:r>
    </w:p>
    <w:p w14:paraId="3EED5D81">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检测各接触器接点</w:t>
      </w:r>
    </w:p>
    <w:p w14:paraId="086110A5">
      <w:pPr>
        <w:numPr>
          <w:ilvl w:val="0"/>
          <w:numId w:val="26"/>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保护性的处理各接触器接点</w:t>
      </w:r>
    </w:p>
    <w:p w14:paraId="1B14FD86">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3</w:t>
      </w:r>
      <w:r>
        <w:rPr>
          <w:rFonts w:hint="eastAsia" w:ascii="微软雅黑" w:hAnsi="微软雅黑" w:eastAsia="微软雅黑" w:cs="Times New Roman"/>
          <w:sz w:val="24"/>
          <w:szCs w:val="24"/>
        </w:rPr>
        <w:t>、润滑系统</w:t>
      </w:r>
    </w:p>
    <w:p w14:paraId="5D8B560D">
      <w:pPr>
        <w:numPr>
          <w:ilvl w:val="0"/>
          <w:numId w:val="27"/>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检查机组冷冻油是否在正常使用范围</w:t>
      </w:r>
    </w:p>
    <w:p w14:paraId="66A9DDC1">
      <w:pPr>
        <w:numPr>
          <w:ilvl w:val="0"/>
          <w:numId w:val="27"/>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检测油槽油位是否正常（运转中）</w:t>
      </w:r>
    </w:p>
    <w:p w14:paraId="421586CD">
      <w:pPr>
        <w:numPr>
          <w:ilvl w:val="0"/>
          <w:numId w:val="27"/>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检测油温控制传感器</w:t>
      </w:r>
    </w:p>
    <w:p w14:paraId="66BB7606">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4</w:t>
      </w:r>
      <w:r>
        <w:rPr>
          <w:rFonts w:hint="eastAsia" w:ascii="微软雅黑" w:hAnsi="微软雅黑" w:eastAsia="微软雅黑" w:cs="Times New Roman"/>
          <w:sz w:val="24"/>
          <w:szCs w:val="24"/>
        </w:rPr>
        <w:t>、控制及保护电路</w:t>
      </w:r>
    </w:p>
    <w:p w14:paraId="5A2C43C9">
      <w:pPr>
        <w:numPr>
          <w:ilvl w:val="0"/>
          <w:numId w:val="28"/>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检测及校正低温传感器</w:t>
      </w:r>
    </w:p>
    <w:p w14:paraId="42A1D380">
      <w:pPr>
        <w:numPr>
          <w:ilvl w:val="0"/>
          <w:numId w:val="28"/>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检测及调整高压开关</w:t>
      </w:r>
    </w:p>
    <w:p w14:paraId="17DA182A">
      <w:pPr>
        <w:numPr>
          <w:ilvl w:val="0"/>
          <w:numId w:val="28"/>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检测及校正高压传感器（选择配备）</w:t>
      </w:r>
    </w:p>
    <w:p w14:paraId="227BE464">
      <w:pPr>
        <w:numPr>
          <w:ilvl w:val="0"/>
          <w:numId w:val="28"/>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检测冷却水及冰水温度传感器</w:t>
      </w:r>
    </w:p>
    <w:p w14:paraId="481BC9A7">
      <w:pPr>
        <w:numPr>
          <w:ilvl w:val="0"/>
          <w:numId w:val="28"/>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检测及调整冷却水及冷冻水流量开关</w:t>
      </w:r>
    </w:p>
    <w:p w14:paraId="0D667928">
      <w:pPr>
        <w:numPr>
          <w:ilvl w:val="0"/>
          <w:numId w:val="28"/>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校正及调整主机设定参数</w:t>
      </w:r>
    </w:p>
    <w:p w14:paraId="06312519">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5</w:t>
      </w:r>
      <w:r>
        <w:rPr>
          <w:rFonts w:hint="eastAsia" w:ascii="微软雅黑" w:hAnsi="微软雅黑" w:eastAsia="微软雅黑" w:cs="Times New Roman"/>
          <w:sz w:val="24"/>
          <w:szCs w:val="24"/>
        </w:rPr>
        <w:t>、冷凝器</w:t>
      </w:r>
    </w:p>
    <w:p w14:paraId="135FEA19">
      <w:pPr>
        <w:numPr>
          <w:ilvl w:val="0"/>
          <w:numId w:val="2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检测水及冷媒之温差</w:t>
      </w:r>
    </w:p>
    <w:p w14:paraId="2F437856">
      <w:pPr>
        <w:numPr>
          <w:ilvl w:val="0"/>
          <w:numId w:val="2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检测冷媒饱和温度传感器</w:t>
      </w:r>
    </w:p>
    <w:p w14:paraId="64CFC425">
      <w:pPr>
        <w:numPr>
          <w:ilvl w:val="0"/>
          <w:numId w:val="29"/>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检测冷媒饱和压力传感器</w:t>
      </w:r>
    </w:p>
    <w:p w14:paraId="71089860">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6</w:t>
      </w:r>
      <w:r>
        <w:rPr>
          <w:rFonts w:hint="eastAsia" w:ascii="微软雅黑" w:hAnsi="微软雅黑" w:eastAsia="微软雅黑" w:cs="Times New Roman"/>
          <w:sz w:val="24"/>
          <w:szCs w:val="24"/>
        </w:rPr>
        <w:t>、蒸发器</w:t>
      </w:r>
    </w:p>
    <w:p w14:paraId="436E3ED7">
      <w:pPr>
        <w:numPr>
          <w:ilvl w:val="0"/>
          <w:numId w:val="30"/>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检测水及冷媒之温差</w:t>
      </w:r>
    </w:p>
    <w:p w14:paraId="6BBA4681">
      <w:pPr>
        <w:numPr>
          <w:ilvl w:val="0"/>
          <w:numId w:val="30"/>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检测冷媒饱和温度传感器</w:t>
      </w:r>
    </w:p>
    <w:p w14:paraId="57B1552A">
      <w:pPr>
        <w:numPr>
          <w:ilvl w:val="0"/>
          <w:numId w:val="30"/>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检测及校正冷媒蒸发压力</w:t>
      </w:r>
    </w:p>
    <w:p w14:paraId="23A93BE4">
      <w:pPr>
        <w:spacing w:line="276" w:lineRule="auto"/>
        <w:rPr>
          <w:rFonts w:ascii="微软雅黑" w:hAnsi="微软雅黑" w:eastAsia="微软雅黑" w:cs="Times New Roman"/>
          <w:sz w:val="24"/>
          <w:szCs w:val="24"/>
        </w:rPr>
      </w:pPr>
      <w:r>
        <w:rPr>
          <w:rFonts w:ascii="微软雅黑" w:hAnsi="微软雅黑" w:eastAsia="微软雅黑" w:cs="Times New Roman"/>
          <w:sz w:val="24"/>
          <w:szCs w:val="24"/>
        </w:rPr>
        <w:t>7</w:t>
      </w:r>
      <w:r>
        <w:rPr>
          <w:rFonts w:hint="eastAsia" w:ascii="微软雅黑" w:hAnsi="微软雅黑" w:eastAsia="微软雅黑" w:cs="Times New Roman"/>
          <w:sz w:val="24"/>
          <w:szCs w:val="24"/>
        </w:rPr>
        <w:t>、开机运转测试</w:t>
      </w:r>
    </w:p>
    <w:p w14:paraId="4990D115">
      <w:pPr>
        <w:numPr>
          <w:ilvl w:val="0"/>
          <w:numId w:val="3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检测马达线圈温度传感器</w:t>
      </w:r>
    </w:p>
    <w:p w14:paraId="35DA7E7D">
      <w:pPr>
        <w:numPr>
          <w:ilvl w:val="0"/>
          <w:numId w:val="3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w:t>
      </w:r>
      <w:r>
        <w:rPr>
          <w:rFonts w:ascii="微软雅黑" w:hAnsi="微软雅黑" w:eastAsia="微软雅黑" w:cs="Times New Roman"/>
          <w:sz w:val="24"/>
          <w:szCs w:val="24"/>
        </w:rPr>
        <w:t xml:space="preserve">SLIDE VALVE </w:t>
      </w:r>
      <w:r>
        <w:rPr>
          <w:rFonts w:hint="eastAsia" w:ascii="微软雅黑" w:hAnsi="微软雅黑" w:eastAsia="微软雅黑" w:cs="Times New Roman"/>
          <w:sz w:val="24"/>
          <w:szCs w:val="24"/>
        </w:rPr>
        <w:t>之功能</w:t>
      </w:r>
    </w:p>
    <w:p w14:paraId="169F465B">
      <w:pPr>
        <w:numPr>
          <w:ilvl w:val="0"/>
          <w:numId w:val="3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检测冷媒过滤器温差</w:t>
      </w:r>
    </w:p>
    <w:p w14:paraId="231103FB">
      <w:pPr>
        <w:numPr>
          <w:ilvl w:val="0"/>
          <w:numId w:val="3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检测不正常之噪音，振动及高温</w:t>
      </w:r>
    </w:p>
    <w:p w14:paraId="63D8D845">
      <w:pPr>
        <w:numPr>
          <w:ilvl w:val="0"/>
          <w:numId w:val="31"/>
        </w:num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检测及报告损坏之零件</w:t>
      </w:r>
    </w:p>
    <w:p w14:paraId="58F7FE2A">
      <w:pPr>
        <w:spacing w:line="276"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检测及报告其操作状况</w:t>
      </w:r>
    </w:p>
    <w:p w14:paraId="5E61A811">
      <w:pPr>
        <w:widowControl/>
        <w:shd w:val="clear" w:color="auto" w:fill="FFFFFF"/>
        <w:autoSpaceDE w:val="0"/>
        <w:autoSpaceDN w:val="0"/>
        <w:spacing w:line="276" w:lineRule="auto"/>
        <w:jc w:val="center"/>
        <w:rPr>
          <w:rFonts w:ascii="微软雅黑" w:hAnsi="微软雅黑" w:eastAsia="微软雅黑" w:cs="宋体"/>
          <w:b/>
          <w:kern w:val="0"/>
          <w:sz w:val="24"/>
          <w:szCs w:val="24"/>
        </w:rPr>
      </w:pPr>
    </w:p>
    <w:p w14:paraId="370E4F69"/>
    <w:p w14:paraId="338D2AA4"/>
    <w:p w14:paraId="04F62844"/>
    <w:p w14:paraId="71BB5845"/>
    <w:p w14:paraId="46BB17F2">
      <w:pPr>
        <w:spacing w:line="360" w:lineRule="auto"/>
        <w:jc w:val="center"/>
        <w:rPr>
          <w:rFonts w:ascii="微软雅黑" w:hAnsi="微软雅黑" w:eastAsia="微软雅黑" w:cs="Times New Roman"/>
          <w:b/>
          <w:color w:val="000000"/>
          <w:spacing w:val="80"/>
          <w:kern w:val="0"/>
          <w:sz w:val="52"/>
          <w:szCs w:val="52"/>
        </w:rPr>
      </w:pPr>
      <w:r>
        <w:rPr>
          <w:rFonts w:hint="eastAsia" w:ascii="微软雅黑" w:hAnsi="微软雅黑" w:eastAsia="微软雅黑" w:cs="Times New Roman"/>
          <w:b/>
          <w:color w:val="000000"/>
          <w:spacing w:val="80"/>
          <w:kern w:val="0"/>
          <w:sz w:val="52"/>
          <w:szCs w:val="52"/>
        </w:rPr>
        <w:t>采购合同</w:t>
      </w:r>
    </w:p>
    <w:p w14:paraId="2759073E">
      <w:pPr>
        <w:spacing w:line="360" w:lineRule="auto"/>
        <w:jc w:val="center"/>
        <w:rPr>
          <w:rFonts w:ascii="微软雅黑" w:hAnsi="微软雅黑" w:eastAsia="微软雅黑" w:cs="Times New Roman"/>
          <w:b/>
          <w:color w:val="000000"/>
          <w:spacing w:val="80"/>
          <w:kern w:val="0"/>
          <w:sz w:val="52"/>
          <w:szCs w:val="52"/>
        </w:rPr>
      </w:pPr>
    </w:p>
    <w:p w14:paraId="3EE19406">
      <w:pPr>
        <w:adjustRightInd w:val="0"/>
        <w:snapToGrid w:val="0"/>
        <w:jc w:val="center"/>
        <w:rPr>
          <w:rFonts w:ascii="微软雅黑" w:hAnsi="微软雅黑" w:eastAsia="微软雅黑" w:cs="Times New Roman"/>
          <w:b/>
          <w:color w:val="000000"/>
          <w:sz w:val="24"/>
          <w:szCs w:val="24"/>
        </w:rPr>
      </w:pPr>
    </w:p>
    <w:p w14:paraId="3ABF8D72">
      <w:pPr>
        <w:adjustRightInd w:val="0"/>
        <w:snapToGrid w:val="0"/>
        <w:jc w:val="center"/>
        <w:rPr>
          <w:rFonts w:ascii="微软雅黑" w:hAnsi="微软雅黑" w:eastAsia="微软雅黑" w:cs="Times New Roman"/>
          <w:b/>
          <w:color w:val="000000"/>
          <w:sz w:val="24"/>
          <w:szCs w:val="24"/>
        </w:rPr>
      </w:pPr>
    </w:p>
    <w:p w14:paraId="53140285">
      <w:pPr>
        <w:adjustRightInd w:val="0"/>
        <w:snapToGrid w:val="0"/>
        <w:jc w:val="center"/>
        <w:rPr>
          <w:rFonts w:ascii="微软雅黑" w:hAnsi="微软雅黑" w:eastAsia="微软雅黑" w:cs="Times New Roman"/>
          <w:b/>
          <w:color w:val="000000"/>
          <w:sz w:val="24"/>
          <w:szCs w:val="24"/>
        </w:rPr>
      </w:pPr>
    </w:p>
    <w:p w14:paraId="365339F3">
      <w:pPr>
        <w:adjustRightInd w:val="0"/>
        <w:snapToGrid w:val="0"/>
        <w:jc w:val="center"/>
        <w:rPr>
          <w:rFonts w:ascii="微软雅黑" w:hAnsi="微软雅黑" w:eastAsia="微软雅黑" w:cs="Times New Roman"/>
          <w:b/>
          <w:color w:val="000000"/>
          <w:sz w:val="24"/>
          <w:szCs w:val="24"/>
        </w:rPr>
      </w:pPr>
    </w:p>
    <w:p w14:paraId="611CBF00">
      <w:pPr>
        <w:adjustRightInd w:val="0"/>
        <w:snapToGrid w:val="0"/>
        <w:jc w:val="center"/>
        <w:rPr>
          <w:rFonts w:ascii="微软雅黑" w:hAnsi="微软雅黑" w:eastAsia="微软雅黑" w:cs="Times New Roman"/>
          <w:b/>
          <w:color w:val="000000"/>
          <w:sz w:val="24"/>
          <w:szCs w:val="24"/>
        </w:rPr>
      </w:pPr>
    </w:p>
    <w:p w14:paraId="443EF36D">
      <w:pPr>
        <w:adjustRightInd w:val="0"/>
        <w:snapToGrid w:val="0"/>
        <w:jc w:val="center"/>
        <w:rPr>
          <w:rFonts w:ascii="微软雅黑" w:hAnsi="微软雅黑" w:eastAsia="微软雅黑" w:cs="Times New Roman"/>
          <w:b/>
          <w:color w:val="000000"/>
          <w:sz w:val="24"/>
          <w:szCs w:val="24"/>
        </w:rPr>
      </w:pPr>
    </w:p>
    <w:p w14:paraId="22CBE777">
      <w:pPr>
        <w:adjustRightInd w:val="0"/>
        <w:snapToGrid w:val="0"/>
        <w:ind w:left="1680"/>
        <w:rPr>
          <w:rFonts w:ascii="微软雅黑" w:hAnsi="微软雅黑" w:eastAsia="微软雅黑" w:cs="Times New Roman"/>
          <w:b/>
          <w:color w:val="000000"/>
          <w:sz w:val="30"/>
          <w:szCs w:val="30"/>
        </w:rPr>
      </w:pPr>
      <w:r>
        <w:rPr>
          <w:rFonts w:hint="eastAsia" w:ascii="微软雅黑" w:hAnsi="微软雅黑" w:eastAsia="微软雅黑" w:cs="Times New Roman"/>
          <w:b/>
          <w:color w:val="000000"/>
          <w:sz w:val="30"/>
          <w:szCs w:val="30"/>
        </w:rPr>
        <w:t>项目名称：</w:t>
      </w:r>
    </w:p>
    <w:p w14:paraId="6651A3EC">
      <w:pPr>
        <w:adjustRightInd w:val="0"/>
        <w:snapToGrid w:val="0"/>
        <w:ind w:left="1680"/>
        <w:rPr>
          <w:rFonts w:ascii="微软雅黑" w:hAnsi="微软雅黑" w:eastAsia="微软雅黑" w:cs="Times New Roman"/>
          <w:b/>
          <w:color w:val="000000"/>
          <w:sz w:val="30"/>
          <w:szCs w:val="30"/>
        </w:rPr>
      </w:pPr>
      <w:r>
        <w:rPr>
          <w:rFonts w:hint="eastAsia" w:ascii="微软雅黑" w:hAnsi="微软雅黑" w:eastAsia="微软雅黑" w:cs="Times New Roman"/>
          <w:b/>
          <w:color w:val="000000"/>
          <w:sz w:val="30"/>
          <w:szCs w:val="30"/>
        </w:rPr>
        <w:t>合同编号：</w:t>
      </w:r>
    </w:p>
    <w:p w14:paraId="17923094">
      <w:pPr>
        <w:adjustRightInd w:val="0"/>
        <w:snapToGrid w:val="0"/>
        <w:ind w:left="1680"/>
        <w:rPr>
          <w:rFonts w:ascii="微软雅黑" w:hAnsi="微软雅黑" w:eastAsia="微软雅黑" w:cs="Times New Roman"/>
          <w:b/>
          <w:color w:val="000000"/>
          <w:sz w:val="30"/>
          <w:szCs w:val="30"/>
        </w:rPr>
      </w:pPr>
      <w:r>
        <w:rPr>
          <w:rFonts w:hint="eastAsia" w:ascii="微软雅黑" w:hAnsi="微软雅黑" w:eastAsia="微软雅黑" w:cs="Times New Roman"/>
          <w:b/>
          <w:color w:val="000000"/>
          <w:sz w:val="30"/>
          <w:szCs w:val="30"/>
        </w:rPr>
        <w:t>签约地点：</w:t>
      </w:r>
    </w:p>
    <w:p w14:paraId="0A8B8DB7">
      <w:pPr>
        <w:tabs>
          <w:tab w:val="left" w:pos="3990"/>
        </w:tabs>
        <w:adjustRightInd w:val="0"/>
        <w:snapToGrid w:val="0"/>
        <w:ind w:left="1680"/>
        <w:rPr>
          <w:rFonts w:ascii="微软雅黑" w:hAnsi="微软雅黑" w:eastAsia="微软雅黑" w:cs="Times New Roman"/>
          <w:b/>
          <w:color w:val="000000"/>
          <w:sz w:val="30"/>
          <w:szCs w:val="30"/>
        </w:rPr>
      </w:pPr>
      <w:r>
        <w:rPr>
          <w:rFonts w:hint="eastAsia" w:ascii="微软雅黑" w:hAnsi="微软雅黑" w:eastAsia="微软雅黑" w:cs="Times New Roman"/>
          <w:b/>
          <w:color w:val="000000"/>
          <w:sz w:val="30"/>
          <w:szCs w:val="30"/>
        </w:rPr>
        <w:t xml:space="preserve">签订日期：      年  </w:t>
      </w:r>
      <w:r>
        <w:rPr>
          <w:rFonts w:ascii="微软雅黑" w:hAnsi="微软雅黑" w:eastAsia="微软雅黑" w:cs="Times New Roman"/>
          <w:b/>
          <w:color w:val="000000"/>
          <w:sz w:val="30"/>
          <w:szCs w:val="30"/>
        </w:rPr>
        <w:t xml:space="preserve">  </w:t>
      </w:r>
      <w:r>
        <w:rPr>
          <w:rFonts w:hint="eastAsia" w:ascii="微软雅黑" w:hAnsi="微软雅黑" w:eastAsia="微软雅黑" w:cs="Times New Roman"/>
          <w:b/>
          <w:color w:val="000000"/>
          <w:sz w:val="30"/>
          <w:szCs w:val="30"/>
        </w:rPr>
        <w:t xml:space="preserve">月  </w:t>
      </w:r>
      <w:r>
        <w:rPr>
          <w:rFonts w:ascii="微软雅黑" w:hAnsi="微软雅黑" w:eastAsia="微软雅黑" w:cs="Times New Roman"/>
          <w:b/>
          <w:color w:val="000000"/>
          <w:sz w:val="30"/>
          <w:szCs w:val="30"/>
        </w:rPr>
        <w:t xml:space="preserve">  </w:t>
      </w:r>
      <w:r>
        <w:rPr>
          <w:rFonts w:hint="eastAsia" w:ascii="微软雅黑" w:hAnsi="微软雅黑" w:eastAsia="微软雅黑" w:cs="Times New Roman"/>
          <w:b/>
          <w:color w:val="000000"/>
          <w:sz w:val="30"/>
          <w:szCs w:val="30"/>
        </w:rPr>
        <w:t>日</w:t>
      </w:r>
    </w:p>
    <w:p w14:paraId="4F89DB11">
      <w:pPr>
        <w:tabs>
          <w:tab w:val="left" w:pos="3990"/>
        </w:tabs>
        <w:adjustRightInd w:val="0"/>
        <w:snapToGrid w:val="0"/>
        <w:ind w:left="1680"/>
        <w:rPr>
          <w:rFonts w:ascii="微软雅黑" w:hAnsi="微软雅黑" w:eastAsia="微软雅黑" w:cs="Times New Roman"/>
          <w:b/>
          <w:color w:val="000000"/>
          <w:sz w:val="30"/>
          <w:szCs w:val="30"/>
        </w:rPr>
      </w:pPr>
    </w:p>
    <w:p w14:paraId="2A532A43">
      <w:pPr>
        <w:tabs>
          <w:tab w:val="left" w:pos="3990"/>
        </w:tabs>
        <w:adjustRightInd w:val="0"/>
        <w:snapToGrid w:val="0"/>
        <w:ind w:left="1680"/>
        <w:rPr>
          <w:rFonts w:ascii="微软雅黑" w:hAnsi="微软雅黑" w:eastAsia="微软雅黑" w:cs="Times New Roman"/>
          <w:b/>
          <w:color w:val="000000"/>
          <w:sz w:val="30"/>
          <w:szCs w:val="30"/>
        </w:rPr>
      </w:pPr>
    </w:p>
    <w:p w14:paraId="4F91A1FE">
      <w:pPr>
        <w:spacing w:line="480" w:lineRule="auto"/>
        <w:rPr>
          <w:rFonts w:ascii="微软雅黑" w:hAnsi="微软雅黑" w:eastAsia="微软雅黑" w:cs="Times New Roman"/>
          <w:b/>
          <w:color w:val="000000"/>
          <w:szCs w:val="21"/>
        </w:rPr>
      </w:pPr>
      <w:r>
        <w:rPr>
          <w:rFonts w:hint="eastAsia" w:ascii="微软雅黑" w:hAnsi="微软雅黑" w:eastAsia="微软雅黑" w:cs="Times New Roman"/>
          <w:b/>
          <w:color w:val="000000"/>
          <w:szCs w:val="21"/>
        </w:rPr>
        <w:t>【本合同仅为合同的参考文本，合同签订双方可根据项目的具体要求进行修订。】</w:t>
      </w:r>
    </w:p>
    <w:p w14:paraId="25DEC821">
      <w:pPr>
        <w:widowControl/>
        <w:jc w:val="left"/>
        <w:rPr>
          <w:rFonts w:ascii="Calibri" w:hAnsi="Calibri" w:eastAsia="Times New Roman" w:cs="Times New Roman"/>
          <w:b/>
          <w:bCs/>
          <w:i/>
          <w:iCs/>
          <w:sz w:val="36"/>
          <w:szCs w:val="36"/>
        </w:rPr>
      </w:pPr>
      <w:r>
        <w:rPr>
          <w:rFonts w:ascii="微软雅黑" w:hAnsi="微软雅黑" w:eastAsia="微软雅黑" w:cs="Times New Roman"/>
          <w:b/>
          <w:color w:val="000000"/>
          <w:szCs w:val="21"/>
        </w:rPr>
        <w:br w:type="page"/>
      </w:r>
      <w:bookmarkStart w:id="0" w:name="_Toc110315376"/>
      <w:bookmarkStart w:id="1" w:name="_Toc330221818"/>
      <w:bookmarkStart w:id="2" w:name="_Toc110315078"/>
      <w:bookmarkStart w:id="3" w:name="_Toc110314999"/>
    </w:p>
    <w:p w14:paraId="6A647C9E">
      <w:pPr>
        <w:spacing w:line="264" w:lineRule="auto"/>
        <w:jc w:val="center"/>
        <w:rPr>
          <w:rFonts w:ascii="宋体" w:hAnsi="宋体" w:eastAsia="宋体" w:cs="宋体"/>
          <w:b/>
          <w:bCs/>
          <w:sz w:val="36"/>
          <w:szCs w:val="36"/>
        </w:rPr>
      </w:pPr>
      <w:r>
        <w:rPr>
          <w:rFonts w:hint="eastAsia" w:ascii="宋体" w:hAnsi="宋体" w:eastAsia="宋体" w:cs="宋体"/>
          <w:b/>
          <w:bCs/>
          <w:sz w:val="36"/>
          <w:szCs w:val="36"/>
        </w:rPr>
        <w:t>中央空调主机保养合同</w:t>
      </w:r>
    </w:p>
    <w:p w14:paraId="3862135B">
      <w:pPr>
        <w:spacing w:line="264" w:lineRule="auto"/>
        <w:jc w:val="center"/>
        <w:rPr>
          <w:rFonts w:ascii="宋体" w:hAnsi="宋体" w:eastAsia="宋体" w:cs="宋体"/>
          <w:b/>
          <w:bCs/>
          <w:sz w:val="36"/>
          <w:szCs w:val="36"/>
        </w:rPr>
      </w:pPr>
    </w:p>
    <w:p w14:paraId="424F70FE">
      <w:pPr>
        <w:spacing w:line="264" w:lineRule="auto"/>
        <w:ind w:left="240" w:firstLine="480"/>
        <w:rPr>
          <w:rFonts w:ascii="宋体" w:hAnsi="宋体" w:eastAsia="宋体" w:cs="宋体"/>
          <w:sz w:val="24"/>
          <w:szCs w:val="24"/>
        </w:rPr>
      </w:pPr>
      <w:r>
        <w:rPr>
          <w:rFonts w:hint="eastAsia" w:ascii="宋体" w:hAnsi="宋体" w:eastAsia="宋体" w:cs="宋体"/>
          <w:sz w:val="24"/>
          <w:szCs w:val="24"/>
          <w:u w:val="single"/>
        </w:rPr>
        <w:t>中山大学附属肿瘤医院</w:t>
      </w:r>
      <w:r>
        <w:rPr>
          <w:rFonts w:ascii="宋体" w:hAnsi="宋体" w:eastAsia="宋体" w:cs="宋体"/>
          <w:sz w:val="24"/>
          <w:szCs w:val="24"/>
        </w:rPr>
        <w:t>(</w:t>
      </w:r>
      <w:r>
        <w:rPr>
          <w:rFonts w:hint="eastAsia" w:ascii="宋体" w:hAnsi="宋体" w:eastAsia="宋体" w:cs="宋体"/>
          <w:sz w:val="24"/>
          <w:szCs w:val="24"/>
        </w:rPr>
        <w:t>以下简称甲方</w:t>
      </w:r>
      <w:r>
        <w:rPr>
          <w:rFonts w:ascii="宋体" w:hAnsi="宋体" w:eastAsia="宋体" w:cs="宋体"/>
          <w:sz w:val="24"/>
          <w:szCs w:val="24"/>
        </w:rPr>
        <w:t>)</w:t>
      </w:r>
      <w:r>
        <w:rPr>
          <w:rFonts w:hint="eastAsia" w:ascii="宋体" w:hAnsi="宋体" w:eastAsia="宋体" w:cs="宋体"/>
          <w:sz w:val="24"/>
          <w:szCs w:val="24"/>
        </w:rPr>
        <w:t>与</w:t>
      </w:r>
      <w:r>
        <w:rPr>
          <w:rFonts w:ascii="宋体" w:hAnsi="宋体" w:eastAsia="宋体" w:cs="宋体"/>
          <w:sz w:val="24"/>
          <w:szCs w:val="24"/>
        </w:rPr>
        <w:t>(</w:t>
      </w:r>
      <w:r>
        <w:rPr>
          <w:rFonts w:hint="eastAsia" w:ascii="宋体" w:hAnsi="宋体" w:eastAsia="宋体" w:cs="宋体"/>
          <w:sz w:val="24"/>
          <w:szCs w:val="24"/>
        </w:rPr>
        <w:t>以下简称乙方</w:t>
      </w:r>
      <w:r>
        <w:rPr>
          <w:rFonts w:ascii="宋体" w:hAnsi="宋体" w:eastAsia="宋体" w:cs="宋体"/>
          <w:sz w:val="24"/>
          <w:szCs w:val="24"/>
        </w:rPr>
        <w:t>)</w:t>
      </w:r>
      <w:r>
        <w:rPr>
          <w:rFonts w:hint="eastAsia" w:ascii="宋体" w:hAnsi="宋体" w:eastAsia="宋体" w:cs="宋体"/>
          <w:sz w:val="24"/>
          <w:szCs w:val="24"/>
        </w:rPr>
        <w:t>同意就甲方中央空调主机</w:t>
      </w:r>
      <w:r>
        <w:rPr>
          <w:rFonts w:ascii="宋体" w:hAnsi="宋体" w:eastAsia="宋体" w:cs="宋体"/>
          <w:sz w:val="24"/>
          <w:szCs w:val="24"/>
        </w:rPr>
        <w:t>(</w:t>
      </w:r>
      <w:r>
        <w:rPr>
          <w:rFonts w:hint="eastAsia" w:ascii="宋体" w:hAnsi="宋体" w:eastAsia="宋体" w:cs="宋体"/>
          <w:sz w:val="24"/>
          <w:szCs w:val="24"/>
        </w:rPr>
        <w:t>以下简称设备</w:t>
      </w:r>
      <w:r>
        <w:rPr>
          <w:rFonts w:ascii="宋体" w:hAnsi="宋体" w:eastAsia="宋体" w:cs="宋体"/>
          <w:sz w:val="24"/>
          <w:szCs w:val="24"/>
        </w:rPr>
        <w:t>)</w:t>
      </w:r>
      <w:r>
        <w:rPr>
          <w:rFonts w:hint="eastAsia" w:ascii="宋体" w:hAnsi="宋体" w:eastAsia="宋体" w:cs="宋体"/>
          <w:sz w:val="24"/>
          <w:szCs w:val="24"/>
        </w:rPr>
        <w:t>定期保养</w:t>
      </w:r>
      <w:r>
        <w:rPr>
          <w:rFonts w:ascii="宋体" w:hAnsi="宋体" w:eastAsia="宋体" w:cs="宋体"/>
          <w:sz w:val="24"/>
          <w:szCs w:val="24"/>
        </w:rPr>
        <w:t>,</w:t>
      </w:r>
      <w:r>
        <w:rPr>
          <w:rFonts w:hint="eastAsia" w:ascii="宋体" w:hAnsi="宋体" w:eastAsia="宋体" w:cs="宋体"/>
          <w:sz w:val="24"/>
          <w:szCs w:val="24"/>
        </w:rPr>
        <w:t>签订下列保养合同，有关内容如下：</w:t>
      </w:r>
    </w:p>
    <w:p w14:paraId="10A3DE02">
      <w:pPr>
        <w:spacing w:line="264" w:lineRule="auto"/>
        <w:ind w:firstLine="720"/>
        <w:rPr>
          <w:rFonts w:ascii="宋体" w:hAnsi="宋体" w:eastAsia="宋体" w:cs="宋体"/>
          <w:sz w:val="24"/>
          <w:szCs w:val="24"/>
        </w:rPr>
      </w:pPr>
      <w:r>
        <w:rPr>
          <w:rFonts w:hint="eastAsia" w:ascii="宋体" w:hAnsi="宋体" w:eastAsia="宋体" w:cs="宋体"/>
          <w:sz w:val="24"/>
          <w:szCs w:val="24"/>
        </w:rPr>
        <w:t>乙方同意提供技术员为下列地点的设备进行保养。</w:t>
      </w:r>
    </w:p>
    <w:p w14:paraId="0B5553CE">
      <w:pPr>
        <w:spacing w:line="264" w:lineRule="auto"/>
        <w:rPr>
          <w:rFonts w:ascii="宋体" w:hAnsi="宋体" w:eastAsia="宋体" w:cs="宋体"/>
          <w:b/>
          <w:bCs/>
          <w:sz w:val="24"/>
          <w:szCs w:val="24"/>
        </w:rPr>
      </w:pPr>
      <w:r>
        <w:rPr>
          <w:rFonts w:ascii="宋体" w:hAnsi="宋体" w:eastAsia="宋体" w:cs="宋体"/>
          <w:b/>
          <w:bCs/>
          <w:sz w:val="24"/>
          <w:szCs w:val="24"/>
        </w:rPr>
        <w:t>1</w:t>
      </w:r>
      <w:r>
        <w:rPr>
          <w:rFonts w:hint="eastAsia" w:ascii="宋体" w:hAnsi="宋体" w:eastAsia="宋体" w:cs="宋体"/>
          <w:b/>
          <w:bCs/>
          <w:sz w:val="24"/>
          <w:szCs w:val="24"/>
        </w:rPr>
        <w:t>、设备地点：</w:t>
      </w:r>
    </w:p>
    <w:p w14:paraId="14AC034A">
      <w:pPr>
        <w:spacing w:line="264" w:lineRule="auto"/>
        <w:rPr>
          <w:rFonts w:ascii="宋体" w:hAnsi="宋体" w:eastAsia="宋体" w:cs="宋体"/>
          <w:sz w:val="24"/>
          <w:szCs w:val="24"/>
        </w:rPr>
      </w:pPr>
      <w:r>
        <w:rPr>
          <w:rFonts w:hint="eastAsia" w:ascii="宋体" w:hAnsi="宋体" w:eastAsia="宋体" w:cs="宋体"/>
          <w:sz w:val="24"/>
          <w:szCs w:val="24"/>
        </w:rPr>
        <w:t>广州市</w:t>
      </w:r>
      <w:r>
        <w:rPr>
          <w:rFonts w:ascii="宋体" w:hAnsi="宋体" w:eastAsia="宋体" w:cs="宋体"/>
          <w:sz w:val="24"/>
          <w:szCs w:val="24"/>
        </w:rPr>
        <w:t>越秀区东风东路651</w:t>
      </w:r>
      <w:r>
        <w:rPr>
          <w:rFonts w:hint="eastAsia" w:ascii="宋体" w:hAnsi="宋体" w:eastAsia="宋体" w:cs="宋体"/>
          <w:sz w:val="24"/>
          <w:szCs w:val="24"/>
        </w:rPr>
        <w:t>号</w:t>
      </w:r>
    </w:p>
    <w:p w14:paraId="07C6C8B2">
      <w:pPr>
        <w:spacing w:line="264" w:lineRule="auto"/>
        <w:rPr>
          <w:rFonts w:ascii="宋体" w:hAnsi="宋体" w:eastAsia="宋体" w:cs="宋体"/>
          <w:b/>
          <w:bCs/>
          <w:sz w:val="24"/>
          <w:szCs w:val="24"/>
        </w:rPr>
      </w:pPr>
      <w:r>
        <w:rPr>
          <w:rFonts w:ascii="宋体" w:hAnsi="宋体" w:eastAsia="宋体" w:cs="宋体"/>
          <w:b/>
          <w:bCs/>
          <w:sz w:val="24"/>
          <w:szCs w:val="24"/>
        </w:rPr>
        <w:t>2</w:t>
      </w:r>
      <w:r>
        <w:rPr>
          <w:rFonts w:hint="eastAsia" w:ascii="宋体" w:hAnsi="宋体" w:eastAsia="宋体" w:cs="宋体"/>
          <w:b/>
          <w:bCs/>
          <w:sz w:val="24"/>
          <w:szCs w:val="24"/>
        </w:rPr>
        <w:t>、设备型号及数量：</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098"/>
        <w:gridCol w:w="1134"/>
        <w:gridCol w:w="2409"/>
      </w:tblGrid>
      <w:tr w14:paraId="138B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29C39344">
            <w:pPr>
              <w:jc w:val="center"/>
              <w:rPr>
                <w:rFonts w:ascii="宋体" w:hAnsi="宋体" w:eastAsia="宋体" w:cs="Times New Roman"/>
                <w:b/>
                <w:sz w:val="18"/>
                <w:szCs w:val="18"/>
              </w:rPr>
            </w:pPr>
            <w:r>
              <w:rPr>
                <w:rFonts w:hint="eastAsia" w:ascii="宋体" w:hAnsi="宋体" w:eastAsia="宋体" w:cs="Times New Roman"/>
                <w:b/>
                <w:sz w:val="18"/>
                <w:szCs w:val="18"/>
              </w:rPr>
              <w:t>设备</w:t>
            </w:r>
          </w:p>
        </w:tc>
        <w:tc>
          <w:tcPr>
            <w:tcW w:w="2098" w:type="dxa"/>
            <w:tcBorders>
              <w:top w:val="single" w:color="auto" w:sz="4" w:space="0"/>
              <w:left w:val="single" w:color="auto" w:sz="4" w:space="0"/>
              <w:bottom w:val="single" w:color="auto" w:sz="4" w:space="0"/>
              <w:right w:val="single" w:color="auto" w:sz="4" w:space="0"/>
              <w:tl2br w:val="nil"/>
              <w:tr2bl w:val="nil"/>
            </w:tcBorders>
            <w:shd w:val="clear" w:color="auto" w:fill="D8D8D8"/>
          </w:tcPr>
          <w:p w14:paraId="452E524A">
            <w:pPr>
              <w:jc w:val="center"/>
              <w:rPr>
                <w:rFonts w:ascii="宋体" w:hAnsi="宋体" w:eastAsia="宋体" w:cs="Times New Roman"/>
                <w:b/>
                <w:sz w:val="18"/>
                <w:szCs w:val="18"/>
              </w:rPr>
            </w:pPr>
            <w:r>
              <w:rPr>
                <w:rFonts w:hint="eastAsia" w:ascii="宋体" w:hAnsi="宋体" w:eastAsia="宋体" w:cs="Times New Roman"/>
                <w:b/>
                <w:sz w:val="18"/>
                <w:szCs w:val="18"/>
              </w:rPr>
              <w:t>规格型号</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6D2A2F29">
            <w:pPr>
              <w:jc w:val="center"/>
              <w:rPr>
                <w:rFonts w:ascii="宋体" w:hAnsi="宋体" w:eastAsia="宋体" w:cs="Times New Roman"/>
                <w:b/>
                <w:sz w:val="18"/>
                <w:szCs w:val="18"/>
              </w:rPr>
            </w:pPr>
            <w:r>
              <w:rPr>
                <w:rFonts w:hint="eastAsia" w:ascii="宋体" w:hAnsi="宋体" w:eastAsia="宋体" w:cs="Times New Roman"/>
                <w:b/>
                <w:sz w:val="18"/>
                <w:szCs w:val="18"/>
              </w:rPr>
              <w:t>数量</w:t>
            </w:r>
          </w:p>
        </w:tc>
        <w:tc>
          <w:tcPr>
            <w:tcW w:w="2409"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5BFD588B">
            <w:pPr>
              <w:jc w:val="center"/>
              <w:rPr>
                <w:rFonts w:ascii="宋体" w:hAnsi="宋体" w:eastAsia="宋体" w:cs="Times New Roman"/>
                <w:b/>
                <w:sz w:val="18"/>
                <w:szCs w:val="18"/>
              </w:rPr>
            </w:pPr>
            <w:r>
              <w:rPr>
                <w:rFonts w:hint="eastAsia" w:ascii="宋体" w:hAnsi="宋体" w:eastAsia="宋体" w:cs="Times New Roman"/>
                <w:b/>
                <w:sz w:val="18"/>
                <w:szCs w:val="18"/>
              </w:rPr>
              <w:t>位置</w:t>
            </w:r>
          </w:p>
        </w:tc>
      </w:tr>
      <w:tr w14:paraId="3A60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vAlign w:val="center"/>
          </w:tcPr>
          <w:p w14:paraId="3214B920">
            <w:pPr>
              <w:jc w:val="center"/>
              <w:rPr>
                <w:rFonts w:ascii="宋体" w:hAnsi="宋体" w:eastAsia="宋体" w:cs="Times New Roman"/>
                <w:sz w:val="18"/>
                <w:szCs w:val="18"/>
              </w:rPr>
            </w:pPr>
            <w:r>
              <w:rPr>
                <w:rFonts w:hint="eastAsia" w:ascii="宋体" w:hAnsi="宋体" w:eastAsia="宋体" w:cs="Times New Roman"/>
                <w:sz w:val="18"/>
                <w:szCs w:val="18"/>
              </w:rPr>
              <w:t>离心式水冷机组（特灵）</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4A8B74E8">
            <w:pPr>
              <w:jc w:val="center"/>
              <w:rPr>
                <w:rFonts w:ascii="宋体" w:hAnsi="宋体" w:eastAsia="宋体" w:cs="Times New Roman"/>
                <w:sz w:val="18"/>
                <w:szCs w:val="18"/>
              </w:rPr>
            </w:pPr>
            <w:r>
              <w:rPr>
                <w:rFonts w:ascii="宋体" w:hAnsi="宋体" w:eastAsia="宋体" w:cs="Times New Roman"/>
                <w:sz w:val="18"/>
                <w:szCs w:val="18"/>
              </w:rPr>
              <w:t>CVHG780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0A3FAC0">
            <w:pPr>
              <w:jc w:val="center"/>
              <w:rPr>
                <w:rFonts w:ascii="宋体" w:hAnsi="宋体" w:eastAsia="宋体" w:cs="Times New Roman"/>
                <w:sz w:val="18"/>
                <w:szCs w:val="18"/>
              </w:rPr>
            </w:pPr>
            <w:r>
              <w:rPr>
                <w:rFonts w:ascii="宋体" w:hAnsi="宋体" w:eastAsia="宋体" w:cs="Times New Roman"/>
                <w:sz w:val="18"/>
                <w:szCs w:val="18"/>
              </w:rPr>
              <w:t>3台</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14:paraId="13403A6E">
            <w:pPr>
              <w:jc w:val="center"/>
              <w:rPr>
                <w:rFonts w:ascii="宋体" w:hAnsi="宋体" w:eastAsia="宋体" w:cs="Times New Roman"/>
                <w:sz w:val="18"/>
                <w:szCs w:val="18"/>
              </w:rPr>
            </w:pPr>
            <w:r>
              <w:rPr>
                <w:rFonts w:ascii="宋体" w:hAnsi="宋体" w:eastAsia="宋体" w:cs="Times New Roman"/>
                <w:sz w:val="18"/>
                <w:szCs w:val="18"/>
              </w:rPr>
              <w:t>1号楼负二层</w:t>
            </w:r>
          </w:p>
        </w:tc>
      </w:tr>
      <w:tr w14:paraId="5EF4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vAlign w:val="center"/>
          </w:tcPr>
          <w:p w14:paraId="1B3C615B">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30F1FB93">
            <w:pPr>
              <w:jc w:val="center"/>
              <w:rPr>
                <w:rFonts w:ascii="宋体" w:hAnsi="宋体" w:eastAsia="宋体" w:cs="Times New Roman"/>
                <w:sz w:val="18"/>
                <w:szCs w:val="18"/>
              </w:rPr>
            </w:pPr>
            <w:r>
              <w:rPr>
                <w:rFonts w:ascii="宋体" w:hAnsi="宋体" w:eastAsia="宋体" w:cs="Times New Roman"/>
                <w:sz w:val="18"/>
                <w:szCs w:val="18"/>
              </w:rPr>
              <w:t>RTAG125SHP（440KW）</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CD0758">
            <w:pPr>
              <w:jc w:val="center"/>
              <w:rPr>
                <w:rFonts w:ascii="宋体" w:hAnsi="宋体" w:eastAsia="宋体" w:cs="Times New Roman"/>
                <w:sz w:val="18"/>
                <w:szCs w:val="18"/>
              </w:rPr>
            </w:pPr>
            <w:r>
              <w:rPr>
                <w:rFonts w:ascii="宋体" w:hAnsi="宋体" w:eastAsia="宋体" w:cs="Times New Roman"/>
                <w:sz w:val="18"/>
                <w:szCs w:val="18"/>
              </w:rPr>
              <w:t>2台</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14:paraId="2147D694">
            <w:pPr>
              <w:jc w:val="center"/>
              <w:rPr>
                <w:rFonts w:ascii="宋体" w:hAnsi="宋体" w:eastAsia="宋体" w:cs="Times New Roman"/>
                <w:sz w:val="18"/>
                <w:szCs w:val="18"/>
              </w:rPr>
            </w:pPr>
            <w:r>
              <w:rPr>
                <w:rFonts w:ascii="宋体" w:hAnsi="宋体" w:eastAsia="宋体" w:cs="Times New Roman"/>
                <w:sz w:val="18"/>
                <w:szCs w:val="18"/>
              </w:rPr>
              <w:t>1号楼天面旧手术室</w:t>
            </w:r>
          </w:p>
        </w:tc>
      </w:tr>
      <w:tr w14:paraId="76DA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vAlign w:val="center"/>
          </w:tcPr>
          <w:p w14:paraId="61C28D17">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282FBD03">
            <w:pPr>
              <w:jc w:val="center"/>
              <w:rPr>
                <w:rFonts w:ascii="宋体" w:hAnsi="宋体" w:eastAsia="宋体" w:cs="Times New Roman"/>
                <w:sz w:val="18"/>
                <w:szCs w:val="18"/>
              </w:rPr>
            </w:pPr>
            <w:r>
              <w:rPr>
                <w:rFonts w:ascii="宋体" w:hAnsi="宋体" w:eastAsia="宋体" w:cs="Times New Roman"/>
                <w:sz w:val="18"/>
                <w:szCs w:val="18"/>
              </w:rPr>
              <w:t>RTXA+（347KW</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CAB30DF">
            <w:pPr>
              <w:jc w:val="center"/>
              <w:rPr>
                <w:rFonts w:ascii="宋体" w:hAnsi="宋体" w:eastAsia="宋体" w:cs="Times New Roman"/>
                <w:sz w:val="18"/>
                <w:szCs w:val="18"/>
              </w:rPr>
            </w:pPr>
            <w:r>
              <w:rPr>
                <w:rFonts w:ascii="宋体" w:hAnsi="宋体" w:eastAsia="宋体" w:cs="Times New Roman"/>
                <w:sz w:val="18"/>
                <w:szCs w:val="18"/>
              </w:rPr>
              <w:t>2台</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14:paraId="4B5B43C0">
            <w:pPr>
              <w:jc w:val="center"/>
              <w:rPr>
                <w:rFonts w:ascii="宋体" w:hAnsi="宋体" w:eastAsia="宋体" w:cs="Times New Roman"/>
                <w:sz w:val="18"/>
                <w:szCs w:val="18"/>
              </w:rPr>
            </w:pPr>
            <w:r>
              <w:rPr>
                <w:rFonts w:ascii="宋体" w:hAnsi="宋体" w:eastAsia="宋体" w:cs="Times New Roman"/>
                <w:sz w:val="18"/>
                <w:szCs w:val="18"/>
              </w:rPr>
              <w:t>1号楼天面新手术室</w:t>
            </w:r>
          </w:p>
        </w:tc>
      </w:tr>
      <w:tr w14:paraId="0B70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vAlign w:val="center"/>
          </w:tcPr>
          <w:p w14:paraId="64A26AEA">
            <w:pPr>
              <w:jc w:val="center"/>
              <w:rPr>
                <w:rFonts w:ascii="宋体" w:hAnsi="宋体" w:eastAsia="宋体" w:cs="Times New Roman"/>
                <w:sz w:val="18"/>
                <w:szCs w:val="18"/>
              </w:rPr>
            </w:pPr>
            <w:r>
              <w:rPr>
                <w:rFonts w:hint="eastAsia" w:ascii="宋体" w:hAnsi="宋体" w:eastAsia="宋体" w:cs="Times New Roman"/>
                <w:sz w:val="18"/>
                <w:szCs w:val="18"/>
              </w:rPr>
              <w:t>离心式水冷机组（特灵）</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49413ADA">
            <w:pPr>
              <w:jc w:val="center"/>
              <w:rPr>
                <w:rFonts w:ascii="宋体" w:hAnsi="宋体" w:eastAsia="宋体" w:cs="Times New Roman"/>
                <w:sz w:val="18"/>
                <w:szCs w:val="18"/>
              </w:rPr>
            </w:pPr>
            <w:r>
              <w:rPr>
                <w:rFonts w:ascii="宋体" w:hAnsi="宋体" w:eastAsia="宋体" w:cs="Times New Roman"/>
                <w:sz w:val="18"/>
                <w:szCs w:val="18"/>
              </w:rPr>
              <w:t>CVHG780（2461KW）</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E34B3D3">
            <w:pPr>
              <w:jc w:val="center"/>
              <w:rPr>
                <w:rFonts w:ascii="宋体" w:hAnsi="宋体" w:eastAsia="宋体" w:cs="Times New Roman"/>
                <w:sz w:val="18"/>
                <w:szCs w:val="18"/>
              </w:rPr>
            </w:pPr>
            <w:r>
              <w:rPr>
                <w:rFonts w:ascii="宋体" w:hAnsi="宋体" w:eastAsia="宋体" w:cs="Times New Roman"/>
                <w:sz w:val="18"/>
                <w:szCs w:val="18"/>
              </w:rPr>
              <w:t>3台</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14:paraId="3C6AE368">
            <w:pPr>
              <w:jc w:val="center"/>
              <w:rPr>
                <w:rFonts w:ascii="宋体" w:hAnsi="宋体" w:eastAsia="宋体" w:cs="Times New Roman"/>
                <w:sz w:val="18"/>
                <w:szCs w:val="18"/>
              </w:rPr>
            </w:pPr>
            <w:r>
              <w:rPr>
                <w:rFonts w:ascii="宋体" w:hAnsi="宋体" w:eastAsia="宋体" w:cs="Times New Roman"/>
                <w:sz w:val="18"/>
                <w:szCs w:val="18"/>
              </w:rPr>
              <w:t>2号楼负二层</w:t>
            </w:r>
          </w:p>
        </w:tc>
      </w:tr>
      <w:tr w14:paraId="4910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vAlign w:val="center"/>
          </w:tcPr>
          <w:p w14:paraId="3293B38D">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5533481D">
            <w:pPr>
              <w:jc w:val="center"/>
              <w:rPr>
                <w:rFonts w:ascii="宋体" w:hAnsi="宋体" w:eastAsia="宋体" w:cs="Times New Roman"/>
                <w:sz w:val="18"/>
                <w:szCs w:val="18"/>
              </w:rPr>
            </w:pPr>
            <w:r>
              <w:rPr>
                <w:rFonts w:ascii="宋体" w:hAnsi="宋体" w:eastAsia="宋体" w:cs="Times New Roman"/>
                <w:sz w:val="18"/>
                <w:szCs w:val="18"/>
              </w:rPr>
              <w:t>RTXA+（693KW）</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CB360A1">
            <w:pPr>
              <w:jc w:val="center"/>
              <w:rPr>
                <w:rFonts w:ascii="宋体" w:hAnsi="宋体" w:eastAsia="宋体" w:cs="Times New Roman"/>
                <w:sz w:val="18"/>
                <w:szCs w:val="18"/>
              </w:rPr>
            </w:pPr>
            <w:r>
              <w:rPr>
                <w:rFonts w:ascii="宋体" w:hAnsi="宋体" w:eastAsia="宋体" w:cs="Times New Roman"/>
                <w:sz w:val="18"/>
                <w:szCs w:val="18"/>
              </w:rPr>
              <w:t>2台</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14:paraId="704F1763">
            <w:pPr>
              <w:jc w:val="center"/>
              <w:rPr>
                <w:rFonts w:ascii="宋体" w:hAnsi="宋体" w:eastAsia="宋体" w:cs="Times New Roman"/>
                <w:sz w:val="18"/>
                <w:szCs w:val="18"/>
              </w:rPr>
            </w:pPr>
            <w:r>
              <w:rPr>
                <w:rFonts w:ascii="宋体" w:hAnsi="宋体" w:eastAsia="宋体" w:cs="Times New Roman"/>
                <w:sz w:val="18"/>
                <w:szCs w:val="18"/>
              </w:rPr>
              <w:t>2号楼天面</w:t>
            </w:r>
          </w:p>
        </w:tc>
      </w:tr>
      <w:tr w14:paraId="0B16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l2br w:val="nil"/>
              <w:tr2bl w:val="nil"/>
            </w:tcBorders>
            <w:vAlign w:val="center"/>
          </w:tcPr>
          <w:p w14:paraId="711E8637">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69D20CE7">
            <w:pPr>
              <w:jc w:val="center"/>
              <w:rPr>
                <w:rFonts w:ascii="宋体" w:hAnsi="宋体" w:eastAsia="宋体" w:cs="Times New Roman"/>
                <w:sz w:val="18"/>
                <w:szCs w:val="18"/>
              </w:rPr>
            </w:pPr>
            <w:r>
              <w:rPr>
                <w:rFonts w:ascii="宋体" w:hAnsi="宋体" w:eastAsia="宋体" w:cs="Times New Roman"/>
                <w:sz w:val="18"/>
                <w:szCs w:val="18"/>
              </w:rPr>
              <w:t>RTXA+（347KW）</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1CF066D">
            <w:pPr>
              <w:jc w:val="center"/>
              <w:rPr>
                <w:rFonts w:ascii="宋体" w:hAnsi="宋体" w:eastAsia="宋体" w:cs="Times New Roman"/>
                <w:sz w:val="18"/>
                <w:szCs w:val="18"/>
              </w:rPr>
            </w:pPr>
            <w:r>
              <w:rPr>
                <w:rFonts w:ascii="宋体" w:hAnsi="宋体" w:eastAsia="宋体" w:cs="Times New Roman"/>
                <w:sz w:val="18"/>
                <w:szCs w:val="18"/>
              </w:rPr>
              <w:t>2台</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14:paraId="5E2DD342">
            <w:pPr>
              <w:jc w:val="center"/>
              <w:rPr>
                <w:rFonts w:ascii="宋体" w:hAnsi="宋体" w:eastAsia="宋体" w:cs="Times New Roman"/>
                <w:sz w:val="18"/>
                <w:szCs w:val="18"/>
              </w:rPr>
            </w:pPr>
            <w:r>
              <w:rPr>
                <w:rFonts w:ascii="宋体" w:hAnsi="宋体" w:eastAsia="宋体" w:cs="Times New Roman"/>
                <w:sz w:val="18"/>
                <w:szCs w:val="18"/>
              </w:rPr>
              <w:t>2号楼天面</w:t>
            </w:r>
          </w:p>
        </w:tc>
      </w:tr>
      <w:tr w14:paraId="74D8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6E21EE5">
            <w:pPr>
              <w:jc w:val="center"/>
              <w:rPr>
                <w:rFonts w:ascii="宋体" w:hAnsi="宋体" w:eastAsia="宋体" w:cs="Times New Roman"/>
                <w:sz w:val="18"/>
                <w:szCs w:val="18"/>
              </w:rPr>
            </w:pPr>
            <w:r>
              <w:rPr>
                <w:rFonts w:hint="eastAsia" w:ascii="宋体" w:hAnsi="宋体" w:eastAsia="宋体" w:cs="Times New Roman"/>
                <w:sz w:val="18"/>
                <w:szCs w:val="18"/>
              </w:rPr>
              <w:t>风冷螺杆热泵机组</w:t>
            </w:r>
          </w:p>
          <w:p w14:paraId="5236F55C">
            <w:pPr>
              <w:jc w:val="center"/>
              <w:rPr>
                <w:rFonts w:ascii="宋体" w:hAnsi="宋体" w:eastAsia="宋体" w:cs="Times New Roman"/>
                <w:sz w:val="18"/>
                <w:szCs w:val="18"/>
              </w:rPr>
            </w:pPr>
            <w:r>
              <w:rPr>
                <w:rFonts w:hint="eastAsia" w:ascii="宋体" w:hAnsi="宋体" w:eastAsia="宋体" w:cs="Times New Roman"/>
                <w:sz w:val="18"/>
                <w:szCs w:val="18"/>
              </w:rPr>
              <w:t>（顿汉布什）</w:t>
            </w:r>
          </w:p>
        </w:tc>
        <w:tc>
          <w:tcPr>
            <w:tcW w:w="2098" w:type="dxa"/>
            <w:tcBorders>
              <w:top w:val="single" w:color="auto" w:sz="4" w:space="0"/>
              <w:left w:val="single" w:color="auto" w:sz="4" w:space="0"/>
              <w:bottom w:val="single" w:color="auto" w:sz="4" w:space="0"/>
              <w:right w:val="single" w:color="auto" w:sz="4" w:space="0"/>
              <w:tl2br w:val="nil"/>
              <w:tr2bl w:val="nil"/>
            </w:tcBorders>
          </w:tcPr>
          <w:p w14:paraId="442EAA6B">
            <w:pPr>
              <w:jc w:val="center"/>
              <w:rPr>
                <w:rFonts w:ascii="宋体" w:hAnsi="宋体" w:eastAsia="宋体" w:cs="Times New Roman"/>
                <w:sz w:val="18"/>
                <w:szCs w:val="18"/>
              </w:rPr>
            </w:pPr>
            <w:r>
              <w:rPr>
                <w:rFonts w:ascii="宋体" w:hAnsi="宋体" w:eastAsia="宋体" w:cs="Times New Roman"/>
                <w:sz w:val="18"/>
                <w:szCs w:val="18"/>
              </w:rPr>
              <w:t>ACDXHP250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7E3792C">
            <w:pPr>
              <w:jc w:val="center"/>
              <w:rPr>
                <w:rFonts w:ascii="宋体" w:hAnsi="宋体" w:eastAsia="宋体" w:cs="Times New Roman"/>
                <w:sz w:val="18"/>
                <w:szCs w:val="18"/>
              </w:rPr>
            </w:pPr>
            <w:r>
              <w:rPr>
                <w:rFonts w:ascii="宋体" w:hAnsi="宋体" w:eastAsia="宋体" w:cs="Times New Roman"/>
                <w:sz w:val="18"/>
                <w:szCs w:val="18"/>
              </w:rPr>
              <w:t>1台</w:t>
            </w:r>
          </w:p>
        </w:tc>
        <w:tc>
          <w:tcPr>
            <w:tcW w:w="24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7120DCB">
            <w:pPr>
              <w:jc w:val="center"/>
              <w:rPr>
                <w:rFonts w:ascii="宋体" w:hAnsi="宋体" w:eastAsia="宋体" w:cs="Times New Roman"/>
                <w:sz w:val="18"/>
                <w:szCs w:val="18"/>
              </w:rPr>
            </w:pPr>
            <w:r>
              <w:rPr>
                <w:rFonts w:hint="eastAsia" w:ascii="宋体" w:hAnsi="宋体" w:eastAsia="宋体" w:cs="Times New Roman"/>
                <w:sz w:val="18"/>
                <w:szCs w:val="18"/>
              </w:rPr>
              <w:t>青菜岗院区体检中心</w:t>
            </w:r>
          </w:p>
          <w:p w14:paraId="3C1770B2">
            <w:pPr>
              <w:jc w:val="center"/>
              <w:rPr>
                <w:rFonts w:ascii="宋体" w:hAnsi="宋体" w:eastAsia="宋体" w:cs="Times New Roman"/>
                <w:sz w:val="18"/>
                <w:szCs w:val="18"/>
              </w:rPr>
            </w:pPr>
            <w:r>
              <w:rPr>
                <w:rFonts w:ascii="宋体" w:hAnsi="宋体" w:eastAsia="宋体" w:cs="Times New Roman"/>
                <w:sz w:val="18"/>
                <w:szCs w:val="18"/>
              </w:rPr>
              <w:t>3楼设备平台</w:t>
            </w:r>
          </w:p>
        </w:tc>
      </w:tr>
      <w:tr w14:paraId="31E5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138C660">
            <w:pPr>
              <w:jc w:val="center"/>
              <w:rPr>
                <w:rFonts w:ascii="宋体" w:hAnsi="宋体" w:eastAsia="宋体" w:cs="Times New Roman"/>
                <w:sz w:val="18"/>
                <w:szCs w:val="18"/>
              </w:rPr>
            </w:pPr>
          </w:p>
        </w:tc>
        <w:tc>
          <w:tcPr>
            <w:tcW w:w="2098" w:type="dxa"/>
            <w:tcBorders>
              <w:top w:val="single" w:color="auto" w:sz="4" w:space="0"/>
              <w:left w:val="single" w:color="auto" w:sz="4" w:space="0"/>
              <w:bottom w:val="single" w:color="auto" w:sz="4" w:space="0"/>
              <w:right w:val="single" w:color="auto" w:sz="4" w:space="0"/>
              <w:tl2br w:val="nil"/>
              <w:tr2bl w:val="nil"/>
            </w:tcBorders>
          </w:tcPr>
          <w:p w14:paraId="18CD3337">
            <w:pPr>
              <w:jc w:val="center"/>
              <w:rPr>
                <w:rFonts w:ascii="宋体" w:hAnsi="宋体" w:eastAsia="宋体" w:cs="Times New Roman"/>
                <w:sz w:val="18"/>
                <w:szCs w:val="18"/>
              </w:rPr>
            </w:pPr>
            <w:r>
              <w:rPr>
                <w:rFonts w:ascii="宋体" w:hAnsi="宋体" w:eastAsia="宋体" w:cs="Times New Roman"/>
                <w:sz w:val="18"/>
                <w:szCs w:val="18"/>
              </w:rPr>
              <w:t>ACDXHP290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DE71952">
            <w:pPr>
              <w:jc w:val="center"/>
              <w:rPr>
                <w:rFonts w:ascii="宋体" w:hAnsi="宋体" w:eastAsia="宋体" w:cs="Times New Roman"/>
                <w:sz w:val="18"/>
                <w:szCs w:val="18"/>
              </w:rPr>
            </w:pPr>
            <w:r>
              <w:rPr>
                <w:rFonts w:ascii="宋体" w:hAnsi="宋体" w:eastAsia="宋体" w:cs="Times New Roman"/>
                <w:sz w:val="18"/>
                <w:szCs w:val="18"/>
              </w:rPr>
              <w:t>1台</w:t>
            </w:r>
          </w:p>
        </w:tc>
        <w:tc>
          <w:tcPr>
            <w:tcW w:w="24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6F77AD">
            <w:pPr>
              <w:jc w:val="center"/>
              <w:rPr>
                <w:rFonts w:ascii="宋体" w:hAnsi="宋体" w:eastAsia="宋体" w:cs="Times New Roman"/>
                <w:sz w:val="18"/>
                <w:szCs w:val="18"/>
              </w:rPr>
            </w:pPr>
          </w:p>
        </w:tc>
      </w:tr>
    </w:tbl>
    <w:p w14:paraId="6380E014">
      <w:pPr>
        <w:numPr>
          <w:ilvl w:val="0"/>
          <w:numId w:val="32"/>
        </w:numPr>
        <w:spacing w:line="264" w:lineRule="auto"/>
        <w:rPr>
          <w:rFonts w:ascii="宋体" w:hAnsi="宋体" w:eastAsia="宋体" w:cs="宋体"/>
          <w:sz w:val="24"/>
          <w:szCs w:val="24"/>
        </w:rPr>
      </w:pPr>
      <w:r>
        <w:rPr>
          <w:rFonts w:hint="eastAsia" w:ascii="宋体" w:hAnsi="宋体" w:eastAsia="宋体" w:cs="宋体"/>
          <w:b/>
          <w:bCs/>
          <w:sz w:val="24"/>
          <w:szCs w:val="24"/>
        </w:rPr>
        <w:t>乙方工作内容：</w:t>
      </w:r>
    </w:p>
    <w:p w14:paraId="5EE36BF1">
      <w:pPr>
        <w:numPr>
          <w:ilvl w:val="0"/>
          <w:numId w:val="33"/>
        </w:numPr>
        <w:spacing w:line="264" w:lineRule="auto"/>
        <w:ind w:left="723" w:leftChars="142" w:hanging="425"/>
        <w:rPr>
          <w:rFonts w:ascii="宋体" w:hAnsi="宋体" w:eastAsia="宋体" w:cs="宋体"/>
          <w:sz w:val="24"/>
          <w:szCs w:val="24"/>
        </w:rPr>
      </w:pPr>
      <w:r>
        <w:rPr>
          <w:rFonts w:hint="eastAsia" w:ascii="宋体" w:hAnsi="宋体" w:eastAsia="宋体" w:cs="宋体"/>
          <w:sz w:val="24"/>
          <w:szCs w:val="24"/>
        </w:rPr>
        <w:t>乙方负责委派技术员每年对甲方机组进行每年十二次常规保养及一次年度总保养。常规保养每一个月一次</w:t>
      </w:r>
      <w:r>
        <w:rPr>
          <w:rFonts w:ascii="宋体" w:hAnsi="宋体" w:eastAsia="宋体" w:cs="宋体"/>
          <w:sz w:val="24"/>
          <w:szCs w:val="24"/>
        </w:rPr>
        <w:t>,</w:t>
      </w:r>
      <w:r>
        <w:rPr>
          <w:rFonts w:hint="eastAsia" w:ascii="宋体" w:hAnsi="宋体" w:eastAsia="宋体" w:cs="宋体"/>
          <w:sz w:val="24"/>
          <w:szCs w:val="24"/>
        </w:rPr>
        <w:t>年保养每年一次</w:t>
      </w:r>
      <w:r>
        <w:rPr>
          <w:rFonts w:ascii="宋体" w:hAnsi="宋体" w:eastAsia="宋体" w:cs="宋体"/>
          <w:sz w:val="24"/>
          <w:szCs w:val="24"/>
        </w:rPr>
        <w:t>,</w:t>
      </w:r>
      <w:r>
        <w:rPr>
          <w:rFonts w:hint="eastAsia" w:ascii="宋体" w:hAnsi="宋体" w:eastAsia="宋体" w:cs="宋体"/>
          <w:sz w:val="24"/>
          <w:szCs w:val="24"/>
        </w:rPr>
        <w:t>具体时间由双方协商而定</w:t>
      </w:r>
      <w:r>
        <w:rPr>
          <w:rFonts w:ascii="宋体" w:hAnsi="宋体" w:eastAsia="宋体" w:cs="宋体"/>
          <w:sz w:val="24"/>
          <w:szCs w:val="24"/>
        </w:rPr>
        <w:t>(</w:t>
      </w:r>
      <w:r>
        <w:rPr>
          <w:rFonts w:hint="eastAsia" w:ascii="宋体" w:hAnsi="宋体" w:eastAsia="宋体" w:cs="宋体"/>
          <w:sz w:val="24"/>
          <w:szCs w:val="24"/>
        </w:rPr>
        <w:t>详细内容请参阅附件</w:t>
      </w:r>
      <w:r>
        <w:rPr>
          <w:rFonts w:ascii="宋体" w:hAnsi="宋体" w:eastAsia="宋体" w:cs="宋体"/>
          <w:sz w:val="24"/>
          <w:szCs w:val="24"/>
        </w:rPr>
        <w:t>)</w:t>
      </w:r>
      <w:r>
        <w:rPr>
          <w:rFonts w:hint="eastAsia" w:ascii="宋体" w:hAnsi="宋体" w:eastAsia="宋体" w:cs="宋体"/>
          <w:sz w:val="24"/>
          <w:szCs w:val="24"/>
        </w:rPr>
        <w:t>；</w:t>
      </w:r>
    </w:p>
    <w:p w14:paraId="6BA9A877">
      <w:pPr>
        <w:numPr>
          <w:ilvl w:val="0"/>
          <w:numId w:val="33"/>
        </w:numPr>
        <w:spacing w:line="264" w:lineRule="auto"/>
        <w:ind w:left="723" w:leftChars="142" w:hanging="425"/>
        <w:rPr>
          <w:rFonts w:ascii="宋体" w:hAnsi="宋体" w:eastAsia="宋体" w:cs="宋体"/>
          <w:sz w:val="24"/>
          <w:szCs w:val="24"/>
        </w:rPr>
      </w:pPr>
      <w:r>
        <w:rPr>
          <w:rFonts w:hint="eastAsia" w:ascii="宋体" w:hAnsi="宋体" w:eastAsia="宋体" w:cs="宋体"/>
          <w:sz w:val="24"/>
          <w:szCs w:val="24"/>
        </w:rPr>
        <w:t>乙方接到甲方通知后，工作时间在</w:t>
      </w:r>
      <w:r>
        <w:rPr>
          <w:rFonts w:ascii="宋体" w:hAnsi="宋体" w:eastAsia="宋体" w:cs="宋体"/>
          <w:sz w:val="24"/>
          <w:szCs w:val="24"/>
        </w:rPr>
        <w:t>30分钟内，其余时间（包括节假日）在2小时内派人员到场检查排除</w:t>
      </w:r>
      <w:r>
        <w:rPr>
          <w:rFonts w:hint="eastAsia" w:ascii="宋体" w:hAnsi="宋体" w:eastAsia="宋体" w:cs="宋体"/>
          <w:sz w:val="24"/>
          <w:szCs w:val="24"/>
        </w:rPr>
        <w:t>故障</w:t>
      </w:r>
      <w:r>
        <w:rPr>
          <w:rFonts w:ascii="宋体" w:hAnsi="宋体" w:eastAsia="宋体" w:cs="宋体"/>
          <w:sz w:val="24"/>
          <w:szCs w:val="24"/>
        </w:rPr>
        <w:t>，法定节假日期间提供24小时服务。</w:t>
      </w:r>
      <w:r>
        <w:rPr>
          <w:rFonts w:hint="eastAsia" w:ascii="宋体" w:hAnsi="宋体" w:eastAsia="宋体" w:cs="宋体"/>
          <w:sz w:val="24"/>
          <w:szCs w:val="24"/>
        </w:rPr>
        <w:t>；</w:t>
      </w:r>
    </w:p>
    <w:p w14:paraId="228BD780">
      <w:pPr>
        <w:numPr>
          <w:ilvl w:val="0"/>
          <w:numId w:val="33"/>
        </w:numPr>
        <w:spacing w:line="264" w:lineRule="auto"/>
        <w:ind w:left="723" w:leftChars="142" w:hanging="425"/>
        <w:rPr>
          <w:rFonts w:ascii="宋体" w:hAnsi="宋体" w:eastAsia="宋体" w:cs="宋体"/>
          <w:sz w:val="24"/>
          <w:szCs w:val="24"/>
        </w:rPr>
      </w:pPr>
      <w:r>
        <w:rPr>
          <w:rFonts w:hint="eastAsia" w:ascii="宋体" w:hAnsi="宋体" w:eastAsia="宋体" w:cs="宋体"/>
          <w:sz w:val="24"/>
          <w:szCs w:val="24"/>
        </w:rPr>
        <w:t>小故障在接到报修后</w:t>
      </w:r>
      <w:r>
        <w:rPr>
          <w:rFonts w:ascii="宋体" w:hAnsi="宋体" w:eastAsia="宋体" w:cs="宋体"/>
          <w:sz w:val="24"/>
          <w:szCs w:val="24"/>
        </w:rPr>
        <w:t>12小时内修复，一般故障抢修，在3小时内检查判断出故障原因，12小时内</w:t>
      </w:r>
      <w:r>
        <w:rPr>
          <w:rFonts w:hint="eastAsia" w:ascii="宋体" w:hAnsi="宋体" w:eastAsia="宋体" w:cs="宋体"/>
          <w:sz w:val="24"/>
          <w:szCs w:val="24"/>
        </w:rPr>
        <w:t>恢复</w:t>
      </w:r>
      <w:r>
        <w:rPr>
          <w:rFonts w:ascii="宋体" w:hAnsi="宋体" w:eastAsia="宋体" w:cs="宋体"/>
          <w:sz w:val="24"/>
          <w:szCs w:val="24"/>
        </w:rPr>
        <w:t>设备正常运行。如系统发生重大故障不能正常运行的，保证尽快确诊，提出书面维修方案报甲方审批，并在人力物力许可的情况下尽快修复，同时应做好相应的临时补救措施，并有书面记录存查</w:t>
      </w:r>
      <w:r>
        <w:rPr>
          <w:rFonts w:hint="eastAsia" w:ascii="宋体" w:hAnsi="宋体" w:eastAsia="宋体" w:cs="宋体"/>
          <w:sz w:val="24"/>
          <w:szCs w:val="24"/>
        </w:rPr>
        <w:t>；</w:t>
      </w:r>
    </w:p>
    <w:p w14:paraId="49E5D7D8">
      <w:pPr>
        <w:numPr>
          <w:ilvl w:val="0"/>
          <w:numId w:val="33"/>
        </w:numPr>
        <w:spacing w:line="264" w:lineRule="auto"/>
        <w:ind w:left="723" w:leftChars="142" w:hanging="425"/>
        <w:rPr>
          <w:rFonts w:ascii="宋体" w:hAnsi="宋体" w:eastAsia="宋体" w:cs="宋体"/>
          <w:sz w:val="24"/>
          <w:szCs w:val="24"/>
        </w:rPr>
      </w:pPr>
      <w:r>
        <w:rPr>
          <w:rFonts w:hint="eastAsia" w:ascii="宋体" w:hAnsi="宋体" w:eastAsia="宋体" w:cs="宋体"/>
          <w:sz w:val="24"/>
          <w:szCs w:val="24"/>
        </w:rPr>
        <w:t>为甲方提供技术指导及有关资料。</w:t>
      </w:r>
    </w:p>
    <w:p w14:paraId="2ACA4F57">
      <w:pPr>
        <w:spacing w:line="264" w:lineRule="auto"/>
        <w:rPr>
          <w:rFonts w:ascii="宋体" w:hAnsi="宋体" w:eastAsia="宋体" w:cs="宋体"/>
          <w:sz w:val="24"/>
          <w:szCs w:val="24"/>
        </w:rPr>
      </w:pPr>
      <w:r>
        <w:rPr>
          <w:rFonts w:hint="eastAsia" w:ascii="宋体" w:hAnsi="宋体" w:eastAsia="宋体" w:cs="宋体"/>
          <w:sz w:val="24"/>
          <w:szCs w:val="24"/>
        </w:rPr>
        <w:t>注：乙方工作内容详见附件。</w:t>
      </w:r>
    </w:p>
    <w:p w14:paraId="7A3784F3">
      <w:pPr>
        <w:tabs>
          <w:tab w:val="left" w:pos="7365"/>
        </w:tabs>
        <w:spacing w:after="60" w:line="264" w:lineRule="auto"/>
        <w:rPr>
          <w:rFonts w:ascii="宋体" w:hAnsi="宋体" w:eastAsia="宋体" w:cs="宋体"/>
          <w:b/>
          <w:bCs/>
          <w:sz w:val="24"/>
          <w:szCs w:val="24"/>
        </w:rPr>
      </w:pPr>
      <w:r>
        <w:rPr>
          <w:rFonts w:ascii="宋体" w:hAnsi="宋体" w:eastAsia="宋体" w:cs="宋体"/>
          <w:b/>
          <w:bCs/>
          <w:sz w:val="24"/>
          <w:szCs w:val="24"/>
        </w:rPr>
        <w:t>4</w:t>
      </w:r>
      <w:r>
        <w:rPr>
          <w:rFonts w:hint="eastAsia" w:ascii="宋体" w:hAnsi="宋体" w:eastAsia="宋体" w:cs="宋体"/>
          <w:b/>
          <w:bCs/>
          <w:sz w:val="24"/>
          <w:szCs w:val="24"/>
        </w:rPr>
        <w:t>、合同期限：</w:t>
      </w:r>
      <w:r>
        <w:rPr>
          <w:rFonts w:ascii="宋体" w:hAnsi="宋体" w:eastAsia="宋体" w:cs="Times New Roman"/>
          <w:b/>
          <w:bCs/>
          <w:sz w:val="24"/>
          <w:szCs w:val="24"/>
        </w:rPr>
        <w:tab/>
      </w:r>
    </w:p>
    <w:p w14:paraId="03426BCA">
      <w:pPr>
        <w:spacing w:after="60" w:line="264" w:lineRule="auto"/>
        <w:ind w:firstLine="720"/>
        <w:rPr>
          <w:rFonts w:ascii="宋体" w:hAnsi="宋体" w:eastAsia="宋体" w:cs="宋体"/>
          <w:sz w:val="24"/>
          <w:szCs w:val="24"/>
        </w:rPr>
      </w:pPr>
      <w:r>
        <w:rPr>
          <w:rFonts w:hint="eastAsia" w:ascii="宋体" w:hAnsi="宋体" w:eastAsia="宋体" w:cs="宋体"/>
          <w:sz w:val="24"/>
          <w:szCs w:val="24"/>
        </w:rPr>
        <w:t>本合同之有效时间由</w:t>
      </w:r>
      <w:r>
        <w:rPr>
          <w:rFonts w:ascii="宋体" w:hAnsi="宋体" w:eastAsia="宋体" w:cs="宋体"/>
          <w:b/>
          <w:sz w:val="24"/>
          <w:szCs w:val="24"/>
          <w:u w:val="single"/>
        </w:rPr>
        <w:t>202</w:t>
      </w:r>
      <w:r>
        <w:rPr>
          <w:rFonts w:hint="eastAsia" w:ascii="宋体" w:hAnsi="宋体" w:eastAsia="宋体" w:cs="宋体"/>
          <w:b/>
          <w:sz w:val="24"/>
          <w:szCs w:val="24"/>
          <w:u w:val="single"/>
          <w:lang w:val="en-US" w:eastAsia="zh-CN"/>
        </w:rPr>
        <w:t>4</w:t>
      </w:r>
      <w:r>
        <w:rPr>
          <w:rFonts w:ascii="宋体" w:hAnsi="宋体" w:eastAsia="宋体" w:cs="宋体"/>
          <w:b/>
          <w:sz w:val="24"/>
          <w:szCs w:val="24"/>
          <w:u w:val="single"/>
        </w:rPr>
        <w:t>年</w:t>
      </w:r>
      <w:r>
        <w:rPr>
          <w:rFonts w:hint="eastAsia" w:ascii="宋体" w:hAnsi="宋体" w:eastAsia="宋体" w:cs="宋体"/>
          <w:b/>
          <w:sz w:val="24"/>
          <w:szCs w:val="24"/>
          <w:u w:val="single"/>
          <w:lang w:val="en-US" w:eastAsia="zh-CN"/>
        </w:rPr>
        <w:t xml:space="preserve">  </w:t>
      </w:r>
      <w:r>
        <w:rPr>
          <w:rFonts w:ascii="宋体" w:hAnsi="宋体" w:eastAsia="宋体" w:cs="宋体"/>
          <w:b/>
          <w:sz w:val="24"/>
          <w:szCs w:val="24"/>
          <w:u w:val="single"/>
        </w:rPr>
        <w:t>月</w:t>
      </w:r>
      <w:r>
        <w:rPr>
          <w:rFonts w:hint="eastAsia" w:ascii="宋体" w:hAnsi="宋体" w:eastAsia="宋体" w:cs="宋体"/>
          <w:b/>
          <w:sz w:val="24"/>
          <w:szCs w:val="24"/>
          <w:u w:val="single"/>
          <w:lang w:val="en-US" w:eastAsia="zh-CN"/>
        </w:rPr>
        <w:t xml:space="preserve">  </w:t>
      </w:r>
      <w:r>
        <w:rPr>
          <w:rFonts w:ascii="宋体" w:hAnsi="宋体" w:eastAsia="宋体" w:cs="宋体"/>
          <w:b/>
          <w:sz w:val="24"/>
          <w:szCs w:val="24"/>
          <w:u w:val="single"/>
        </w:rPr>
        <w:t>日至202</w:t>
      </w:r>
      <w:r>
        <w:rPr>
          <w:rFonts w:hint="eastAsia" w:ascii="宋体" w:hAnsi="宋体" w:eastAsia="宋体" w:cs="宋体"/>
          <w:b/>
          <w:sz w:val="24"/>
          <w:szCs w:val="24"/>
          <w:u w:val="single"/>
          <w:lang w:val="en-US" w:eastAsia="zh-CN"/>
        </w:rPr>
        <w:t xml:space="preserve">  </w:t>
      </w:r>
      <w:r>
        <w:rPr>
          <w:rFonts w:ascii="宋体" w:hAnsi="宋体" w:eastAsia="宋体" w:cs="宋体"/>
          <w:b/>
          <w:sz w:val="24"/>
          <w:szCs w:val="24"/>
          <w:u w:val="single"/>
        </w:rPr>
        <w:t>年</w:t>
      </w:r>
      <w:r>
        <w:rPr>
          <w:rFonts w:hint="eastAsia" w:ascii="宋体" w:hAnsi="宋体" w:eastAsia="宋体" w:cs="宋体"/>
          <w:b/>
          <w:sz w:val="24"/>
          <w:szCs w:val="24"/>
          <w:u w:val="single"/>
          <w:lang w:val="en-US" w:eastAsia="zh-CN"/>
        </w:rPr>
        <w:t xml:space="preserve">  </w:t>
      </w:r>
      <w:r>
        <w:rPr>
          <w:rFonts w:ascii="宋体" w:hAnsi="宋体" w:eastAsia="宋体" w:cs="宋体"/>
          <w:b/>
          <w:sz w:val="24"/>
          <w:szCs w:val="24"/>
          <w:u w:val="single"/>
        </w:rPr>
        <w:t>月</w:t>
      </w:r>
      <w:r>
        <w:rPr>
          <w:rFonts w:hint="eastAsia" w:ascii="宋体" w:hAnsi="宋体" w:eastAsia="宋体" w:cs="宋体"/>
          <w:b/>
          <w:sz w:val="24"/>
          <w:szCs w:val="24"/>
          <w:u w:val="single"/>
          <w:lang w:val="en-US" w:eastAsia="zh-CN"/>
        </w:rPr>
        <w:t xml:space="preserve">  </w:t>
      </w:r>
      <w:r>
        <w:rPr>
          <w:rFonts w:ascii="宋体" w:hAnsi="宋体" w:eastAsia="宋体" w:cs="宋体"/>
          <w:b/>
          <w:sz w:val="24"/>
          <w:szCs w:val="24"/>
          <w:u w:val="single"/>
        </w:rPr>
        <w:t>日止（</w:t>
      </w:r>
      <w:r>
        <w:rPr>
          <w:rFonts w:hint="eastAsia" w:ascii="宋体" w:hAnsi="宋体" w:eastAsia="宋体" w:cs="宋体"/>
          <w:b/>
          <w:sz w:val="24"/>
          <w:szCs w:val="24"/>
          <w:u w:val="single"/>
        </w:rPr>
        <w:t>一</w:t>
      </w:r>
      <w:r>
        <w:rPr>
          <w:rFonts w:ascii="宋体" w:hAnsi="宋体" w:eastAsia="宋体" w:cs="宋体"/>
          <w:b/>
          <w:sz w:val="24"/>
          <w:szCs w:val="24"/>
          <w:u w:val="single"/>
        </w:rPr>
        <w:t>年）</w:t>
      </w:r>
      <w:r>
        <w:rPr>
          <w:rFonts w:hint="eastAsia" w:ascii="宋体" w:hAnsi="宋体" w:eastAsia="宋体" w:cs="宋体"/>
          <w:sz w:val="24"/>
          <w:szCs w:val="24"/>
        </w:rPr>
        <w:t>。</w:t>
      </w:r>
    </w:p>
    <w:p w14:paraId="5D1E8AB9">
      <w:pPr>
        <w:spacing w:line="264" w:lineRule="auto"/>
        <w:rPr>
          <w:rFonts w:ascii="宋体" w:hAnsi="宋体" w:eastAsia="宋体" w:cs="宋体"/>
          <w:b/>
          <w:bCs/>
          <w:sz w:val="24"/>
          <w:szCs w:val="24"/>
        </w:rPr>
      </w:pPr>
      <w:r>
        <w:rPr>
          <w:rFonts w:ascii="宋体" w:hAnsi="宋体" w:eastAsia="宋体" w:cs="宋体"/>
          <w:b/>
          <w:bCs/>
          <w:sz w:val="24"/>
          <w:szCs w:val="24"/>
        </w:rPr>
        <w:t>5</w:t>
      </w:r>
      <w:r>
        <w:rPr>
          <w:rFonts w:hint="eastAsia" w:ascii="宋体" w:hAnsi="宋体" w:eastAsia="宋体" w:cs="宋体"/>
          <w:b/>
          <w:bCs/>
          <w:sz w:val="24"/>
          <w:szCs w:val="24"/>
        </w:rPr>
        <w:t>、保养价格如下：</w:t>
      </w:r>
    </w:p>
    <w:p w14:paraId="56D07ABD">
      <w:pPr>
        <w:spacing w:line="264" w:lineRule="auto"/>
        <w:ind w:left="378" w:leftChars="180" w:firstLine="2880" w:firstLineChars="1200"/>
        <w:rPr>
          <w:rFonts w:ascii="宋体" w:hAnsi="宋体" w:eastAsia="宋体" w:cs="宋体"/>
          <w:sz w:val="24"/>
          <w:szCs w:val="24"/>
        </w:rPr>
      </w:pPr>
      <w:r>
        <w:rPr>
          <w:rFonts w:hint="eastAsia" w:ascii="宋体" w:hAnsi="宋体" w:eastAsia="宋体" w:cs="宋体"/>
          <w:sz w:val="24"/>
          <w:szCs w:val="24"/>
        </w:rPr>
        <w:t>保养设备分类价目表</w:t>
      </w:r>
    </w:p>
    <w:tbl>
      <w:tblPr>
        <w:tblStyle w:val="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1044"/>
        <w:gridCol w:w="854"/>
        <w:gridCol w:w="987"/>
        <w:gridCol w:w="1038"/>
        <w:gridCol w:w="1038"/>
        <w:gridCol w:w="694"/>
      </w:tblGrid>
      <w:tr w14:paraId="23F5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E0E0E0"/>
            <w:vAlign w:val="center"/>
          </w:tcPr>
          <w:p w14:paraId="6150F739">
            <w:pPr>
              <w:jc w:val="center"/>
              <w:rPr>
                <w:rFonts w:ascii="宋体" w:hAnsi="宋体" w:eastAsia="宋体" w:cs="Times New Roman"/>
                <w:b/>
                <w:sz w:val="24"/>
                <w:szCs w:val="24"/>
              </w:rPr>
            </w:pPr>
            <w:r>
              <w:rPr>
                <w:rFonts w:hint="eastAsia" w:ascii="宋体" w:hAnsi="宋体" w:eastAsia="宋体" w:cs="Times New Roman"/>
                <w:b/>
                <w:sz w:val="24"/>
                <w:szCs w:val="24"/>
              </w:rPr>
              <w:t>序</w:t>
            </w:r>
            <w:r>
              <w:rPr>
                <w:rFonts w:ascii="宋体" w:hAnsi="宋体" w:eastAsia="宋体" w:cs="Times New Roman"/>
                <w:b/>
                <w:sz w:val="24"/>
                <w:szCs w:val="24"/>
              </w:rPr>
              <w:t xml:space="preserve"> </w:t>
            </w:r>
            <w:r>
              <w:rPr>
                <w:rFonts w:hint="eastAsia" w:ascii="宋体" w:hAnsi="宋体" w:eastAsia="宋体" w:cs="Times New Roman"/>
                <w:b/>
                <w:sz w:val="24"/>
                <w:szCs w:val="24"/>
              </w:rPr>
              <w:t>号</w:t>
            </w:r>
          </w:p>
        </w:tc>
        <w:tc>
          <w:tcPr>
            <w:tcW w:w="1418" w:type="dxa"/>
            <w:tcBorders>
              <w:top w:val="single" w:color="auto" w:sz="4" w:space="0"/>
              <w:left w:val="single" w:color="auto" w:sz="4" w:space="0"/>
              <w:bottom w:val="single" w:color="auto" w:sz="4" w:space="0"/>
              <w:right w:val="single" w:color="auto" w:sz="4" w:space="0"/>
            </w:tcBorders>
            <w:shd w:val="clear" w:color="auto" w:fill="E0E0E0"/>
            <w:vAlign w:val="center"/>
          </w:tcPr>
          <w:p w14:paraId="31ED7440">
            <w:pPr>
              <w:jc w:val="center"/>
              <w:rPr>
                <w:rFonts w:ascii="宋体" w:hAnsi="宋体" w:eastAsia="宋体" w:cs="Times New Roman"/>
                <w:b/>
                <w:sz w:val="24"/>
                <w:szCs w:val="24"/>
              </w:rPr>
            </w:pPr>
            <w:r>
              <w:rPr>
                <w:rFonts w:hint="eastAsia" w:ascii="宋体" w:hAnsi="宋体" w:eastAsia="宋体" w:cs="Times New Roman"/>
                <w:b/>
                <w:sz w:val="24"/>
                <w:szCs w:val="24"/>
              </w:rPr>
              <w:t>分项名称</w:t>
            </w:r>
          </w:p>
        </w:tc>
        <w:tc>
          <w:tcPr>
            <w:tcW w:w="992" w:type="dxa"/>
            <w:tcBorders>
              <w:top w:val="single" w:color="auto" w:sz="4" w:space="0"/>
              <w:left w:val="single" w:color="auto" w:sz="4" w:space="0"/>
              <w:bottom w:val="single" w:color="auto" w:sz="4" w:space="0"/>
              <w:right w:val="single" w:color="auto" w:sz="4" w:space="0"/>
            </w:tcBorders>
            <w:shd w:val="clear" w:color="auto" w:fill="E0E0E0"/>
            <w:vAlign w:val="center"/>
          </w:tcPr>
          <w:p w14:paraId="42CE5758">
            <w:pPr>
              <w:jc w:val="center"/>
              <w:rPr>
                <w:rFonts w:ascii="宋体" w:hAnsi="宋体" w:eastAsia="宋体" w:cs="Times New Roman"/>
                <w:b/>
                <w:sz w:val="24"/>
                <w:szCs w:val="24"/>
              </w:rPr>
            </w:pPr>
            <w:r>
              <w:rPr>
                <w:rFonts w:hint="eastAsia" w:ascii="宋体" w:hAnsi="宋体" w:eastAsia="宋体" w:cs="Times New Roman"/>
                <w:b/>
                <w:sz w:val="24"/>
                <w:szCs w:val="24"/>
              </w:rPr>
              <w:t>品</w:t>
            </w:r>
            <w:r>
              <w:rPr>
                <w:rFonts w:ascii="宋体" w:hAnsi="宋体" w:eastAsia="宋体" w:cs="Times New Roman"/>
                <w:b/>
                <w:sz w:val="24"/>
                <w:szCs w:val="24"/>
              </w:rPr>
              <w:t xml:space="preserve"> </w:t>
            </w:r>
            <w:r>
              <w:rPr>
                <w:rFonts w:hint="eastAsia" w:ascii="宋体" w:hAnsi="宋体" w:eastAsia="宋体" w:cs="Times New Roman"/>
                <w:b/>
                <w:sz w:val="24"/>
                <w:szCs w:val="24"/>
              </w:rPr>
              <w:t>牌</w:t>
            </w:r>
          </w:p>
        </w:tc>
        <w:tc>
          <w:tcPr>
            <w:tcW w:w="1044" w:type="dxa"/>
            <w:tcBorders>
              <w:top w:val="single" w:color="auto" w:sz="4" w:space="0"/>
              <w:left w:val="single" w:color="auto" w:sz="4" w:space="0"/>
              <w:bottom w:val="single" w:color="auto" w:sz="4" w:space="0"/>
              <w:right w:val="single" w:color="auto" w:sz="4" w:space="0"/>
            </w:tcBorders>
            <w:shd w:val="clear" w:color="auto" w:fill="E0E0E0"/>
            <w:vAlign w:val="center"/>
          </w:tcPr>
          <w:p w14:paraId="3CB6C62F">
            <w:pPr>
              <w:jc w:val="center"/>
              <w:rPr>
                <w:rFonts w:ascii="宋体" w:hAnsi="宋体" w:eastAsia="宋体" w:cs="Times New Roman"/>
                <w:b/>
                <w:sz w:val="24"/>
                <w:szCs w:val="24"/>
              </w:rPr>
            </w:pPr>
            <w:r>
              <w:rPr>
                <w:rFonts w:hint="eastAsia" w:ascii="宋体" w:hAnsi="宋体" w:eastAsia="宋体" w:cs="Times New Roman"/>
                <w:b/>
                <w:sz w:val="24"/>
                <w:szCs w:val="24"/>
              </w:rPr>
              <w:t>型</w:t>
            </w:r>
            <w:r>
              <w:rPr>
                <w:rFonts w:ascii="宋体" w:hAnsi="宋体" w:eastAsia="宋体" w:cs="Times New Roman"/>
                <w:b/>
                <w:sz w:val="24"/>
                <w:szCs w:val="24"/>
              </w:rPr>
              <w:t xml:space="preserve"> </w:t>
            </w:r>
            <w:r>
              <w:rPr>
                <w:rFonts w:hint="eastAsia" w:ascii="宋体" w:hAnsi="宋体" w:eastAsia="宋体" w:cs="Times New Roman"/>
                <w:b/>
                <w:sz w:val="24"/>
                <w:szCs w:val="24"/>
              </w:rPr>
              <w:t>号</w:t>
            </w:r>
          </w:p>
        </w:tc>
        <w:tc>
          <w:tcPr>
            <w:tcW w:w="854" w:type="dxa"/>
            <w:tcBorders>
              <w:top w:val="single" w:color="auto" w:sz="4" w:space="0"/>
              <w:left w:val="single" w:color="auto" w:sz="4" w:space="0"/>
              <w:bottom w:val="single" w:color="auto" w:sz="4" w:space="0"/>
              <w:right w:val="single" w:color="auto" w:sz="4" w:space="0"/>
            </w:tcBorders>
            <w:shd w:val="clear" w:color="auto" w:fill="E0E0E0"/>
            <w:vAlign w:val="center"/>
          </w:tcPr>
          <w:p w14:paraId="103B4B8E">
            <w:pPr>
              <w:jc w:val="center"/>
              <w:rPr>
                <w:rFonts w:ascii="宋体" w:hAnsi="宋体" w:eastAsia="宋体" w:cs="Times New Roman"/>
                <w:b/>
                <w:sz w:val="24"/>
                <w:szCs w:val="24"/>
              </w:rPr>
            </w:pPr>
            <w:r>
              <w:rPr>
                <w:rFonts w:hint="eastAsia" w:ascii="宋体" w:hAnsi="宋体" w:eastAsia="宋体" w:cs="Times New Roman"/>
                <w:b/>
                <w:sz w:val="24"/>
                <w:szCs w:val="24"/>
              </w:rPr>
              <w:t>产</w:t>
            </w:r>
            <w:r>
              <w:rPr>
                <w:rFonts w:ascii="宋体" w:hAnsi="宋体" w:eastAsia="宋体" w:cs="Times New Roman"/>
                <w:b/>
                <w:sz w:val="24"/>
                <w:szCs w:val="24"/>
              </w:rPr>
              <w:t xml:space="preserve"> </w:t>
            </w:r>
            <w:r>
              <w:rPr>
                <w:rFonts w:hint="eastAsia" w:ascii="宋体" w:hAnsi="宋体" w:eastAsia="宋体" w:cs="Times New Roman"/>
                <w:b/>
                <w:sz w:val="24"/>
                <w:szCs w:val="24"/>
              </w:rPr>
              <w:t>地</w:t>
            </w:r>
          </w:p>
        </w:tc>
        <w:tc>
          <w:tcPr>
            <w:tcW w:w="987" w:type="dxa"/>
            <w:tcBorders>
              <w:top w:val="single" w:color="auto" w:sz="4" w:space="0"/>
              <w:left w:val="single" w:color="auto" w:sz="4" w:space="0"/>
              <w:bottom w:val="single" w:color="auto" w:sz="4" w:space="0"/>
              <w:right w:val="single" w:color="auto" w:sz="4" w:space="0"/>
            </w:tcBorders>
            <w:shd w:val="clear" w:color="auto" w:fill="E0E0E0"/>
            <w:vAlign w:val="center"/>
          </w:tcPr>
          <w:p w14:paraId="5CD9DBFD">
            <w:pPr>
              <w:jc w:val="center"/>
              <w:rPr>
                <w:rFonts w:ascii="宋体" w:hAnsi="宋体" w:eastAsia="宋体" w:cs="Times New Roman"/>
                <w:b/>
                <w:sz w:val="24"/>
                <w:szCs w:val="24"/>
              </w:rPr>
            </w:pPr>
            <w:r>
              <w:rPr>
                <w:rFonts w:hint="eastAsia" w:ascii="宋体" w:hAnsi="宋体" w:eastAsia="宋体" w:cs="Times New Roman"/>
                <w:b/>
                <w:sz w:val="24"/>
                <w:szCs w:val="24"/>
              </w:rPr>
              <w:t>数</w:t>
            </w:r>
            <w:r>
              <w:rPr>
                <w:rFonts w:ascii="宋体" w:hAnsi="宋体" w:eastAsia="宋体" w:cs="Times New Roman"/>
                <w:b/>
                <w:sz w:val="24"/>
                <w:szCs w:val="24"/>
              </w:rPr>
              <w:t xml:space="preserve"> </w:t>
            </w:r>
            <w:r>
              <w:rPr>
                <w:rFonts w:hint="eastAsia" w:ascii="宋体" w:hAnsi="宋体" w:eastAsia="宋体" w:cs="Times New Roman"/>
                <w:b/>
                <w:sz w:val="24"/>
                <w:szCs w:val="24"/>
              </w:rPr>
              <w:t>量</w:t>
            </w:r>
          </w:p>
        </w:tc>
        <w:tc>
          <w:tcPr>
            <w:tcW w:w="1038" w:type="dxa"/>
            <w:tcBorders>
              <w:top w:val="single" w:color="auto" w:sz="4" w:space="0"/>
              <w:left w:val="single" w:color="auto" w:sz="4" w:space="0"/>
              <w:bottom w:val="single" w:color="auto" w:sz="4" w:space="0"/>
              <w:right w:val="single" w:color="auto" w:sz="4" w:space="0"/>
            </w:tcBorders>
            <w:shd w:val="clear" w:color="auto" w:fill="E0E0E0"/>
            <w:vAlign w:val="center"/>
          </w:tcPr>
          <w:p w14:paraId="73F3A36E">
            <w:pPr>
              <w:jc w:val="center"/>
              <w:rPr>
                <w:rFonts w:ascii="宋体" w:hAnsi="宋体" w:eastAsia="宋体" w:cs="Times New Roman"/>
                <w:b/>
                <w:sz w:val="24"/>
                <w:szCs w:val="24"/>
              </w:rPr>
            </w:pPr>
            <w:r>
              <w:rPr>
                <w:rFonts w:hint="eastAsia" w:ascii="宋体" w:hAnsi="宋体" w:eastAsia="宋体" w:cs="Times New Roman"/>
                <w:b/>
                <w:sz w:val="24"/>
                <w:szCs w:val="24"/>
              </w:rPr>
              <w:t>单</w:t>
            </w:r>
            <w:r>
              <w:rPr>
                <w:rFonts w:ascii="宋体" w:hAnsi="宋体" w:eastAsia="宋体" w:cs="Times New Roman"/>
                <w:b/>
                <w:sz w:val="24"/>
                <w:szCs w:val="24"/>
              </w:rPr>
              <w:t xml:space="preserve"> </w:t>
            </w:r>
            <w:r>
              <w:rPr>
                <w:rFonts w:hint="eastAsia" w:ascii="宋体" w:hAnsi="宋体" w:eastAsia="宋体" w:cs="Times New Roman"/>
                <w:b/>
                <w:sz w:val="24"/>
                <w:szCs w:val="24"/>
              </w:rPr>
              <w:t>价</w:t>
            </w:r>
          </w:p>
        </w:tc>
        <w:tc>
          <w:tcPr>
            <w:tcW w:w="1038" w:type="dxa"/>
            <w:tcBorders>
              <w:top w:val="single" w:color="auto" w:sz="4" w:space="0"/>
              <w:left w:val="single" w:color="auto" w:sz="4" w:space="0"/>
              <w:bottom w:val="single" w:color="auto" w:sz="4" w:space="0"/>
              <w:right w:val="single" w:color="auto" w:sz="4" w:space="0"/>
            </w:tcBorders>
            <w:shd w:val="clear" w:color="auto" w:fill="E0E0E0"/>
            <w:vAlign w:val="center"/>
          </w:tcPr>
          <w:p w14:paraId="13A411F0">
            <w:pPr>
              <w:jc w:val="center"/>
              <w:rPr>
                <w:rFonts w:ascii="宋体" w:hAnsi="宋体" w:eastAsia="宋体" w:cs="Times New Roman"/>
                <w:b/>
                <w:sz w:val="24"/>
                <w:szCs w:val="24"/>
              </w:rPr>
            </w:pPr>
            <w:r>
              <w:rPr>
                <w:rFonts w:hint="eastAsia" w:ascii="宋体" w:hAnsi="宋体" w:eastAsia="宋体" w:cs="Times New Roman"/>
                <w:b/>
                <w:sz w:val="24"/>
                <w:szCs w:val="24"/>
              </w:rPr>
              <w:t>总</w:t>
            </w:r>
            <w:r>
              <w:rPr>
                <w:rFonts w:ascii="宋体" w:hAnsi="宋体" w:eastAsia="宋体" w:cs="Times New Roman"/>
                <w:b/>
                <w:sz w:val="24"/>
                <w:szCs w:val="24"/>
              </w:rPr>
              <w:t xml:space="preserve"> </w:t>
            </w:r>
            <w:r>
              <w:rPr>
                <w:rFonts w:hint="eastAsia" w:ascii="宋体" w:hAnsi="宋体" w:eastAsia="宋体" w:cs="Times New Roman"/>
                <w:b/>
                <w:sz w:val="24"/>
                <w:szCs w:val="24"/>
              </w:rPr>
              <w:t>价</w:t>
            </w:r>
          </w:p>
        </w:tc>
        <w:tc>
          <w:tcPr>
            <w:tcW w:w="694" w:type="dxa"/>
            <w:tcBorders>
              <w:top w:val="single" w:color="auto" w:sz="4" w:space="0"/>
              <w:left w:val="single" w:color="auto" w:sz="4" w:space="0"/>
              <w:bottom w:val="single" w:color="auto" w:sz="4" w:space="0"/>
              <w:right w:val="single" w:color="auto" w:sz="4" w:space="0"/>
            </w:tcBorders>
            <w:shd w:val="clear" w:color="auto" w:fill="E0E0E0"/>
            <w:vAlign w:val="center"/>
          </w:tcPr>
          <w:p w14:paraId="02DDC519">
            <w:pPr>
              <w:jc w:val="center"/>
              <w:rPr>
                <w:rFonts w:ascii="宋体" w:hAnsi="宋体" w:eastAsia="宋体" w:cs="Times New Roman"/>
                <w:b/>
                <w:sz w:val="24"/>
                <w:szCs w:val="24"/>
              </w:rPr>
            </w:pPr>
            <w:r>
              <w:rPr>
                <w:rFonts w:hint="eastAsia" w:ascii="宋体" w:hAnsi="宋体" w:eastAsia="宋体" w:cs="Times New Roman"/>
                <w:b/>
                <w:sz w:val="24"/>
                <w:szCs w:val="24"/>
              </w:rPr>
              <w:t>说</w:t>
            </w:r>
            <w:r>
              <w:rPr>
                <w:rFonts w:ascii="宋体" w:hAnsi="宋体" w:eastAsia="宋体" w:cs="Times New Roman"/>
                <w:b/>
                <w:sz w:val="24"/>
                <w:szCs w:val="24"/>
              </w:rPr>
              <w:t xml:space="preserve"> </w:t>
            </w:r>
            <w:r>
              <w:rPr>
                <w:rFonts w:hint="eastAsia" w:ascii="宋体" w:hAnsi="宋体" w:eastAsia="宋体" w:cs="Times New Roman"/>
                <w:b/>
                <w:sz w:val="24"/>
                <w:szCs w:val="24"/>
              </w:rPr>
              <w:t>明</w:t>
            </w:r>
          </w:p>
        </w:tc>
      </w:tr>
      <w:tr w14:paraId="3941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0595E6A3">
            <w:pPr>
              <w:jc w:val="center"/>
              <w:textAlignment w:val="center"/>
              <w:rPr>
                <w:rFonts w:ascii="宋体" w:hAnsi="宋体" w:eastAsia="宋体" w:cs="Times New Roman"/>
                <w:snapToGrid w:val="0"/>
                <w:sz w:val="18"/>
                <w:szCs w:val="18"/>
              </w:rPr>
            </w:pPr>
            <w:r>
              <w:rPr>
                <w:rFonts w:ascii="宋体" w:hAnsi="宋体" w:eastAsia="宋体" w:cs="Times New Roman"/>
                <w:snapToGrid w:val="0"/>
                <w:sz w:val="18"/>
                <w:szCs w:val="18"/>
              </w:rPr>
              <w:t>1</w:t>
            </w:r>
          </w:p>
        </w:tc>
        <w:tc>
          <w:tcPr>
            <w:tcW w:w="1418" w:type="dxa"/>
            <w:tcBorders>
              <w:top w:val="single" w:color="auto" w:sz="4" w:space="0"/>
              <w:left w:val="single" w:color="auto" w:sz="4" w:space="0"/>
              <w:bottom w:val="single" w:color="auto" w:sz="4" w:space="0"/>
              <w:right w:val="single" w:color="auto" w:sz="4" w:space="0"/>
            </w:tcBorders>
            <w:vAlign w:val="center"/>
          </w:tcPr>
          <w:p w14:paraId="06A3A81C">
            <w:pPr>
              <w:jc w:val="center"/>
              <w:rPr>
                <w:rFonts w:ascii="宋体" w:hAnsi="宋体" w:eastAsia="宋体" w:cs="Times New Roman"/>
                <w:sz w:val="18"/>
                <w:szCs w:val="18"/>
              </w:rPr>
            </w:pPr>
            <w:r>
              <w:rPr>
                <w:rFonts w:hint="eastAsia" w:ascii="宋体" w:hAnsi="宋体" w:eastAsia="宋体" w:cs="Times New Roman"/>
                <w:sz w:val="18"/>
                <w:szCs w:val="18"/>
              </w:rPr>
              <w:t>离心式水冷机组</w:t>
            </w:r>
          </w:p>
        </w:tc>
        <w:tc>
          <w:tcPr>
            <w:tcW w:w="992" w:type="dxa"/>
            <w:tcBorders>
              <w:top w:val="single" w:color="auto" w:sz="4" w:space="0"/>
              <w:left w:val="single" w:color="auto" w:sz="4" w:space="0"/>
              <w:bottom w:val="single" w:color="auto" w:sz="4" w:space="0"/>
              <w:right w:val="single" w:color="auto" w:sz="4" w:space="0"/>
            </w:tcBorders>
            <w:vAlign w:val="center"/>
          </w:tcPr>
          <w:p w14:paraId="090516C2">
            <w:pPr>
              <w:jc w:val="center"/>
              <w:rPr>
                <w:rFonts w:ascii="宋体" w:hAnsi="宋体" w:eastAsia="宋体" w:cs="Times New Roman"/>
                <w:sz w:val="18"/>
                <w:szCs w:val="18"/>
              </w:rPr>
            </w:pPr>
            <w:r>
              <w:rPr>
                <w:rFonts w:hint="eastAsia" w:ascii="宋体" w:hAnsi="宋体" w:eastAsia="宋体" w:cs="Times New Roman"/>
                <w:sz w:val="18"/>
                <w:szCs w:val="18"/>
              </w:rPr>
              <w:t>特灵</w:t>
            </w:r>
          </w:p>
        </w:tc>
        <w:tc>
          <w:tcPr>
            <w:tcW w:w="1044" w:type="dxa"/>
            <w:tcBorders>
              <w:top w:val="single" w:color="auto" w:sz="4" w:space="0"/>
              <w:left w:val="single" w:color="auto" w:sz="4" w:space="0"/>
              <w:bottom w:val="single" w:color="auto" w:sz="4" w:space="0"/>
              <w:right w:val="single" w:color="auto" w:sz="4" w:space="0"/>
            </w:tcBorders>
            <w:vAlign w:val="center"/>
          </w:tcPr>
          <w:p w14:paraId="3C53D2DB">
            <w:pPr>
              <w:jc w:val="center"/>
              <w:rPr>
                <w:rFonts w:ascii="宋体" w:hAnsi="宋体" w:eastAsia="宋体" w:cs="Times New Roman"/>
                <w:sz w:val="18"/>
                <w:szCs w:val="18"/>
              </w:rPr>
            </w:pPr>
            <w:r>
              <w:rPr>
                <w:rFonts w:ascii="宋体" w:hAnsi="宋体" w:eastAsia="宋体" w:cs="Times New Roman"/>
                <w:sz w:val="18"/>
                <w:szCs w:val="18"/>
              </w:rPr>
              <w:t>CVHG780</w:t>
            </w:r>
          </w:p>
        </w:tc>
        <w:tc>
          <w:tcPr>
            <w:tcW w:w="854" w:type="dxa"/>
            <w:tcBorders>
              <w:top w:val="single" w:color="auto" w:sz="4" w:space="0"/>
              <w:left w:val="single" w:color="auto" w:sz="4" w:space="0"/>
              <w:bottom w:val="single" w:color="auto" w:sz="4" w:space="0"/>
              <w:right w:val="single" w:color="auto" w:sz="4" w:space="0"/>
            </w:tcBorders>
            <w:vAlign w:val="center"/>
          </w:tcPr>
          <w:p w14:paraId="320D4D1B">
            <w:pPr>
              <w:jc w:val="center"/>
              <w:rPr>
                <w:rFonts w:ascii="宋体" w:hAnsi="宋体" w:eastAsia="宋体" w:cs="Times New Roman"/>
                <w:sz w:val="18"/>
                <w:szCs w:val="18"/>
              </w:rPr>
            </w:pPr>
            <w:r>
              <w:rPr>
                <w:rFonts w:hint="eastAsia" w:ascii="宋体" w:hAnsi="宋体" w:eastAsia="宋体" w:cs="Times New Roman"/>
                <w:sz w:val="18"/>
                <w:szCs w:val="18"/>
              </w:rPr>
              <w:t>江苏</w:t>
            </w:r>
          </w:p>
        </w:tc>
        <w:tc>
          <w:tcPr>
            <w:tcW w:w="987" w:type="dxa"/>
            <w:tcBorders>
              <w:top w:val="single" w:color="auto" w:sz="4" w:space="0"/>
              <w:left w:val="single" w:color="auto" w:sz="4" w:space="0"/>
              <w:bottom w:val="single" w:color="auto" w:sz="4" w:space="0"/>
              <w:right w:val="single" w:color="auto" w:sz="4" w:space="0"/>
            </w:tcBorders>
            <w:vAlign w:val="center"/>
          </w:tcPr>
          <w:p w14:paraId="67EB7AB5">
            <w:pPr>
              <w:jc w:val="center"/>
              <w:rPr>
                <w:rFonts w:ascii="宋体" w:hAnsi="宋体" w:eastAsia="宋体" w:cs="Times New Roman"/>
                <w:sz w:val="18"/>
                <w:szCs w:val="18"/>
              </w:rPr>
            </w:pPr>
            <w:r>
              <w:rPr>
                <w:rFonts w:ascii="宋体" w:hAnsi="宋体" w:eastAsia="宋体" w:cs="Times New Roman"/>
                <w:sz w:val="18"/>
                <w:szCs w:val="18"/>
              </w:rPr>
              <w:t>3台</w:t>
            </w:r>
          </w:p>
        </w:tc>
        <w:tc>
          <w:tcPr>
            <w:tcW w:w="1038" w:type="dxa"/>
            <w:tcBorders>
              <w:top w:val="single" w:color="auto" w:sz="4" w:space="0"/>
              <w:left w:val="single" w:color="auto" w:sz="4" w:space="0"/>
              <w:bottom w:val="single" w:color="auto" w:sz="4" w:space="0"/>
              <w:right w:val="single" w:color="auto" w:sz="4" w:space="0"/>
            </w:tcBorders>
            <w:vAlign w:val="center"/>
          </w:tcPr>
          <w:p w14:paraId="1405FCF4">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73B6212F">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226956F5">
            <w:pPr>
              <w:jc w:val="center"/>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按维保月份进行付款</w:t>
            </w:r>
          </w:p>
        </w:tc>
      </w:tr>
      <w:tr w14:paraId="2639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2DF54C3B">
            <w:pPr>
              <w:jc w:val="center"/>
              <w:rPr>
                <w:rFonts w:ascii="宋体" w:hAnsi="宋体" w:eastAsia="宋体" w:cs="Times New Roman"/>
                <w:sz w:val="18"/>
                <w:szCs w:val="18"/>
              </w:rPr>
            </w:pPr>
            <w:r>
              <w:rPr>
                <w:rFonts w:ascii="宋体" w:hAnsi="宋体" w:eastAsia="宋体" w:cs="Times New Roman"/>
                <w:sz w:val="18"/>
                <w:szCs w:val="18"/>
              </w:rPr>
              <w:t>2</w:t>
            </w:r>
          </w:p>
        </w:tc>
        <w:tc>
          <w:tcPr>
            <w:tcW w:w="1418" w:type="dxa"/>
            <w:tcBorders>
              <w:top w:val="single" w:color="auto" w:sz="4" w:space="0"/>
              <w:left w:val="single" w:color="auto" w:sz="4" w:space="0"/>
              <w:bottom w:val="single" w:color="auto" w:sz="4" w:space="0"/>
              <w:right w:val="single" w:color="auto" w:sz="4" w:space="0"/>
            </w:tcBorders>
            <w:vAlign w:val="center"/>
          </w:tcPr>
          <w:p w14:paraId="20233C17">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992" w:type="dxa"/>
            <w:tcBorders>
              <w:top w:val="single" w:color="auto" w:sz="4" w:space="0"/>
              <w:left w:val="single" w:color="auto" w:sz="4" w:space="0"/>
              <w:bottom w:val="single" w:color="auto" w:sz="4" w:space="0"/>
              <w:right w:val="single" w:color="auto" w:sz="4" w:space="0"/>
            </w:tcBorders>
            <w:vAlign w:val="center"/>
          </w:tcPr>
          <w:p w14:paraId="7E01B262">
            <w:pPr>
              <w:jc w:val="center"/>
              <w:rPr>
                <w:rFonts w:ascii="宋体" w:hAnsi="宋体" w:eastAsia="宋体" w:cs="Times New Roman"/>
                <w:sz w:val="18"/>
                <w:szCs w:val="18"/>
              </w:rPr>
            </w:pPr>
            <w:r>
              <w:rPr>
                <w:rFonts w:hint="eastAsia" w:ascii="宋体" w:hAnsi="宋体" w:eastAsia="宋体" w:cs="Times New Roman"/>
                <w:sz w:val="18"/>
                <w:szCs w:val="18"/>
              </w:rPr>
              <w:t>特灵</w:t>
            </w:r>
          </w:p>
        </w:tc>
        <w:tc>
          <w:tcPr>
            <w:tcW w:w="1044" w:type="dxa"/>
            <w:tcBorders>
              <w:top w:val="single" w:color="auto" w:sz="4" w:space="0"/>
              <w:left w:val="single" w:color="auto" w:sz="4" w:space="0"/>
              <w:bottom w:val="single" w:color="auto" w:sz="4" w:space="0"/>
              <w:right w:val="single" w:color="auto" w:sz="4" w:space="0"/>
            </w:tcBorders>
            <w:vAlign w:val="center"/>
          </w:tcPr>
          <w:p w14:paraId="4F5B9A45">
            <w:pPr>
              <w:jc w:val="center"/>
              <w:rPr>
                <w:rFonts w:ascii="宋体" w:hAnsi="宋体" w:eastAsia="宋体" w:cs="Times New Roman"/>
                <w:sz w:val="18"/>
                <w:szCs w:val="18"/>
              </w:rPr>
            </w:pPr>
            <w:r>
              <w:rPr>
                <w:rFonts w:ascii="宋体" w:hAnsi="宋体" w:eastAsia="宋体" w:cs="Times New Roman"/>
                <w:sz w:val="18"/>
                <w:szCs w:val="18"/>
              </w:rPr>
              <w:t>RTAG125SHP（440KW）</w:t>
            </w:r>
          </w:p>
        </w:tc>
        <w:tc>
          <w:tcPr>
            <w:tcW w:w="854" w:type="dxa"/>
            <w:tcBorders>
              <w:top w:val="single" w:color="auto" w:sz="4" w:space="0"/>
              <w:left w:val="single" w:color="auto" w:sz="4" w:space="0"/>
              <w:bottom w:val="single" w:color="auto" w:sz="4" w:space="0"/>
              <w:right w:val="single" w:color="auto" w:sz="4" w:space="0"/>
            </w:tcBorders>
            <w:vAlign w:val="center"/>
          </w:tcPr>
          <w:p w14:paraId="5C544C47">
            <w:pPr>
              <w:jc w:val="center"/>
              <w:rPr>
                <w:rFonts w:ascii="宋体" w:hAnsi="宋体" w:eastAsia="宋体" w:cs="Times New Roman"/>
                <w:sz w:val="18"/>
                <w:szCs w:val="18"/>
              </w:rPr>
            </w:pPr>
            <w:r>
              <w:rPr>
                <w:rFonts w:hint="eastAsia" w:ascii="宋体" w:hAnsi="宋体" w:eastAsia="宋体" w:cs="Times New Roman"/>
                <w:sz w:val="18"/>
                <w:szCs w:val="18"/>
              </w:rPr>
              <w:t>江苏</w:t>
            </w:r>
          </w:p>
        </w:tc>
        <w:tc>
          <w:tcPr>
            <w:tcW w:w="987" w:type="dxa"/>
            <w:tcBorders>
              <w:top w:val="single" w:color="auto" w:sz="4" w:space="0"/>
              <w:left w:val="single" w:color="auto" w:sz="4" w:space="0"/>
              <w:bottom w:val="single" w:color="auto" w:sz="4" w:space="0"/>
              <w:right w:val="single" w:color="auto" w:sz="4" w:space="0"/>
            </w:tcBorders>
            <w:vAlign w:val="center"/>
          </w:tcPr>
          <w:p w14:paraId="5DD31E97">
            <w:pPr>
              <w:jc w:val="center"/>
              <w:rPr>
                <w:rFonts w:ascii="宋体" w:hAnsi="宋体" w:eastAsia="宋体" w:cs="Times New Roman"/>
                <w:sz w:val="18"/>
                <w:szCs w:val="18"/>
              </w:rPr>
            </w:pPr>
            <w:r>
              <w:rPr>
                <w:rFonts w:ascii="宋体" w:hAnsi="宋体" w:eastAsia="宋体" w:cs="Times New Roman"/>
                <w:sz w:val="18"/>
                <w:szCs w:val="18"/>
              </w:rPr>
              <w:t>2台</w:t>
            </w:r>
          </w:p>
        </w:tc>
        <w:tc>
          <w:tcPr>
            <w:tcW w:w="1038" w:type="dxa"/>
            <w:tcBorders>
              <w:top w:val="single" w:color="auto" w:sz="4" w:space="0"/>
              <w:left w:val="single" w:color="auto" w:sz="4" w:space="0"/>
              <w:bottom w:val="single" w:color="auto" w:sz="4" w:space="0"/>
              <w:right w:val="single" w:color="auto" w:sz="4" w:space="0"/>
            </w:tcBorders>
            <w:vAlign w:val="center"/>
          </w:tcPr>
          <w:p w14:paraId="646D9051">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647FF666">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18DACCC8">
            <w:pPr>
              <w:jc w:val="center"/>
              <w:rPr>
                <w:rFonts w:ascii="宋体" w:hAnsi="宋体" w:eastAsia="宋体" w:cs="Times New Roman"/>
                <w:sz w:val="18"/>
                <w:szCs w:val="18"/>
              </w:rPr>
            </w:pPr>
          </w:p>
        </w:tc>
      </w:tr>
      <w:tr w14:paraId="7445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44227C7B">
            <w:pPr>
              <w:jc w:val="center"/>
              <w:rPr>
                <w:rFonts w:ascii="宋体" w:hAnsi="宋体" w:eastAsia="宋体" w:cs="Times New Roman"/>
                <w:sz w:val="18"/>
                <w:szCs w:val="18"/>
              </w:rPr>
            </w:pPr>
            <w:r>
              <w:rPr>
                <w:rFonts w:ascii="宋体" w:hAnsi="宋体" w:eastAsia="宋体" w:cs="Times New Roman"/>
                <w:sz w:val="18"/>
                <w:szCs w:val="18"/>
              </w:rPr>
              <w:t>3</w:t>
            </w:r>
          </w:p>
        </w:tc>
        <w:tc>
          <w:tcPr>
            <w:tcW w:w="1418" w:type="dxa"/>
            <w:tcBorders>
              <w:top w:val="single" w:color="auto" w:sz="4" w:space="0"/>
              <w:left w:val="single" w:color="auto" w:sz="4" w:space="0"/>
              <w:bottom w:val="single" w:color="auto" w:sz="4" w:space="0"/>
              <w:right w:val="single" w:color="auto" w:sz="4" w:space="0"/>
            </w:tcBorders>
            <w:vAlign w:val="center"/>
          </w:tcPr>
          <w:p w14:paraId="5A38CCCC">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992" w:type="dxa"/>
            <w:tcBorders>
              <w:top w:val="single" w:color="auto" w:sz="4" w:space="0"/>
              <w:left w:val="single" w:color="auto" w:sz="4" w:space="0"/>
              <w:bottom w:val="single" w:color="auto" w:sz="4" w:space="0"/>
              <w:right w:val="single" w:color="auto" w:sz="4" w:space="0"/>
            </w:tcBorders>
            <w:vAlign w:val="center"/>
          </w:tcPr>
          <w:p w14:paraId="0C3A331A">
            <w:pPr>
              <w:jc w:val="center"/>
              <w:rPr>
                <w:rFonts w:ascii="宋体" w:hAnsi="宋体" w:eastAsia="宋体" w:cs="Times New Roman"/>
                <w:sz w:val="18"/>
                <w:szCs w:val="18"/>
              </w:rPr>
            </w:pPr>
            <w:r>
              <w:rPr>
                <w:rFonts w:hint="eastAsia" w:ascii="宋体" w:hAnsi="宋体" w:eastAsia="宋体" w:cs="Times New Roman"/>
                <w:sz w:val="18"/>
                <w:szCs w:val="18"/>
              </w:rPr>
              <w:t>特灵</w:t>
            </w:r>
          </w:p>
        </w:tc>
        <w:tc>
          <w:tcPr>
            <w:tcW w:w="1044" w:type="dxa"/>
            <w:tcBorders>
              <w:top w:val="single" w:color="auto" w:sz="4" w:space="0"/>
              <w:left w:val="single" w:color="auto" w:sz="4" w:space="0"/>
              <w:bottom w:val="single" w:color="auto" w:sz="4" w:space="0"/>
              <w:right w:val="single" w:color="auto" w:sz="4" w:space="0"/>
            </w:tcBorders>
            <w:vAlign w:val="center"/>
          </w:tcPr>
          <w:p w14:paraId="6B035ADF">
            <w:pPr>
              <w:jc w:val="center"/>
              <w:rPr>
                <w:rFonts w:ascii="宋体" w:hAnsi="宋体" w:eastAsia="宋体" w:cs="Times New Roman"/>
                <w:sz w:val="18"/>
                <w:szCs w:val="18"/>
              </w:rPr>
            </w:pPr>
            <w:r>
              <w:rPr>
                <w:rFonts w:ascii="宋体" w:hAnsi="宋体" w:eastAsia="宋体" w:cs="Times New Roman"/>
                <w:sz w:val="18"/>
                <w:szCs w:val="18"/>
              </w:rPr>
              <w:t>RTXA+（347KW）</w:t>
            </w:r>
          </w:p>
        </w:tc>
        <w:tc>
          <w:tcPr>
            <w:tcW w:w="854" w:type="dxa"/>
            <w:tcBorders>
              <w:top w:val="single" w:color="auto" w:sz="4" w:space="0"/>
              <w:left w:val="single" w:color="auto" w:sz="4" w:space="0"/>
              <w:bottom w:val="single" w:color="auto" w:sz="4" w:space="0"/>
              <w:right w:val="single" w:color="auto" w:sz="4" w:space="0"/>
            </w:tcBorders>
            <w:vAlign w:val="center"/>
          </w:tcPr>
          <w:p w14:paraId="117753C2">
            <w:pPr>
              <w:jc w:val="center"/>
              <w:rPr>
                <w:rFonts w:ascii="宋体" w:hAnsi="宋体" w:eastAsia="宋体" w:cs="Times New Roman"/>
                <w:sz w:val="18"/>
                <w:szCs w:val="18"/>
              </w:rPr>
            </w:pPr>
            <w:r>
              <w:rPr>
                <w:rFonts w:hint="eastAsia" w:ascii="宋体" w:hAnsi="宋体" w:eastAsia="宋体" w:cs="Times New Roman"/>
                <w:sz w:val="18"/>
                <w:szCs w:val="18"/>
              </w:rPr>
              <w:t>江苏</w:t>
            </w:r>
          </w:p>
        </w:tc>
        <w:tc>
          <w:tcPr>
            <w:tcW w:w="987" w:type="dxa"/>
            <w:tcBorders>
              <w:top w:val="single" w:color="auto" w:sz="4" w:space="0"/>
              <w:left w:val="single" w:color="auto" w:sz="4" w:space="0"/>
              <w:bottom w:val="single" w:color="auto" w:sz="4" w:space="0"/>
              <w:right w:val="single" w:color="auto" w:sz="4" w:space="0"/>
            </w:tcBorders>
            <w:vAlign w:val="center"/>
          </w:tcPr>
          <w:p w14:paraId="75979EA2">
            <w:pPr>
              <w:jc w:val="center"/>
              <w:rPr>
                <w:rFonts w:ascii="宋体" w:hAnsi="宋体" w:eastAsia="宋体" w:cs="Times New Roman"/>
                <w:sz w:val="18"/>
                <w:szCs w:val="18"/>
              </w:rPr>
            </w:pPr>
            <w:r>
              <w:rPr>
                <w:rFonts w:ascii="宋体" w:hAnsi="宋体" w:eastAsia="宋体" w:cs="Times New Roman"/>
                <w:sz w:val="18"/>
                <w:szCs w:val="18"/>
              </w:rPr>
              <w:t>2台</w:t>
            </w:r>
          </w:p>
        </w:tc>
        <w:tc>
          <w:tcPr>
            <w:tcW w:w="1038" w:type="dxa"/>
            <w:tcBorders>
              <w:top w:val="single" w:color="auto" w:sz="4" w:space="0"/>
              <w:left w:val="single" w:color="auto" w:sz="4" w:space="0"/>
              <w:bottom w:val="single" w:color="auto" w:sz="4" w:space="0"/>
              <w:right w:val="single" w:color="auto" w:sz="4" w:space="0"/>
            </w:tcBorders>
            <w:vAlign w:val="center"/>
          </w:tcPr>
          <w:p w14:paraId="23529C0B">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4C001AE2">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49D40175">
            <w:pPr>
              <w:jc w:val="center"/>
              <w:rPr>
                <w:rFonts w:ascii="宋体" w:hAnsi="宋体" w:eastAsia="宋体" w:cs="Times New Roman"/>
                <w:sz w:val="18"/>
                <w:szCs w:val="18"/>
              </w:rPr>
            </w:pPr>
          </w:p>
        </w:tc>
      </w:tr>
      <w:tr w14:paraId="48A4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4AA6E93E">
            <w:pPr>
              <w:jc w:val="center"/>
              <w:rPr>
                <w:rFonts w:ascii="宋体" w:hAnsi="宋体" w:eastAsia="宋体" w:cs="Times New Roman"/>
                <w:sz w:val="18"/>
                <w:szCs w:val="18"/>
              </w:rPr>
            </w:pPr>
            <w:r>
              <w:rPr>
                <w:rFonts w:ascii="宋体" w:hAnsi="宋体" w:eastAsia="宋体" w:cs="Times New Roman"/>
                <w:sz w:val="18"/>
                <w:szCs w:val="18"/>
              </w:rPr>
              <w:t>6</w:t>
            </w:r>
          </w:p>
        </w:tc>
        <w:tc>
          <w:tcPr>
            <w:tcW w:w="1418" w:type="dxa"/>
            <w:tcBorders>
              <w:top w:val="single" w:color="auto" w:sz="4" w:space="0"/>
              <w:left w:val="single" w:color="auto" w:sz="4" w:space="0"/>
              <w:bottom w:val="single" w:color="auto" w:sz="4" w:space="0"/>
              <w:right w:val="single" w:color="auto" w:sz="4" w:space="0"/>
            </w:tcBorders>
            <w:vAlign w:val="center"/>
          </w:tcPr>
          <w:p w14:paraId="749924BA">
            <w:pPr>
              <w:jc w:val="center"/>
              <w:rPr>
                <w:rFonts w:ascii="宋体" w:hAnsi="宋体" w:eastAsia="宋体" w:cs="Times New Roman"/>
                <w:sz w:val="18"/>
                <w:szCs w:val="18"/>
              </w:rPr>
            </w:pPr>
            <w:r>
              <w:rPr>
                <w:rFonts w:hint="eastAsia" w:ascii="宋体" w:hAnsi="宋体" w:eastAsia="宋体" w:cs="Times New Roman"/>
                <w:sz w:val="18"/>
                <w:szCs w:val="18"/>
              </w:rPr>
              <w:t>离心式水冷机组（特灵）</w:t>
            </w:r>
          </w:p>
        </w:tc>
        <w:tc>
          <w:tcPr>
            <w:tcW w:w="992" w:type="dxa"/>
            <w:tcBorders>
              <w:top w:val="single" w:color="auto" w:sz="4" w:space="0"/>
              <w:left w:val="single" w:color="auto" w:sz="4" w:space="0"/>
              <w:bottom w:val="single" w:color="auto" w:sz="4" w:space="0"/>
              <w:right w:val="single" w:color="auto" w:sz="4" w:space="0"/>
            </w:tcBorders>
            <w:vAlign w:val="center"/>
          </w:tcPr>
          <w:p w14:paraId="316DBD77">
            <w:pPr>
              <w:jc w:val="center"/>
              <w:rPr>
                <w:rFonts w:ascii="宋体" w:hAnsi="宋体" w:eastAsia="宋体" w:cs="Times New Roman"/>
                <w:sz w:val="18"/>
                <w:szCs w:val="18"/>
              </w:rPr>
            </w:pPr>
            <w:r>
              <w:rPr>
                <w:rFonts w:hint="eastAsia" w:ascii="宋体" w:hAnsi="宋体" w:eastAsia="宋体" w:cs="Times New Roman"/>
                <w:sz w:val="18"/>
                <w:szCs w:val="18"/>
              </w:rPr>
              <w:t>特灵</w:t>
            </w:r>
          </w:p>
        </w:tc>
        <w:tc>
          <w:tcPr>
            <w:tcW w:w="1044" w:type="dxa"/>
            <w:tcBorders>
              <w:top w:val="single" w:color="auto" w:sz="4" w:space="0"/>
              <w:left w:val="single" w:color="auto" w:sz="4" w:space="0"/>
              <w:bottom w:val="single" w:color="auto" w:sz="4" w:space="0"/>
              <w:right w:val="single" w:color="auto" w:sz="4" w:space="0"/>
            </w:tcBorders>
            <w:vAlign w:val="center"/>
          </w:tcPr>
          <w:p w14:paraId="62F1261D">
            <w:pPr>
              <w:jc w:val="center"/>
              <w:rPr>
                <w:rFonts w:ascii="宋体" w:hAnsi="宋体" w:eastAsia="宋体" w:cs="Times New Roman"/>
                <w:sz w:val="18"/>
                <w:szCs w:val="18"/>
              </w:rPr>
            </w:pPr>
            <w:r>
              <w:rPr>
                <w:rFonts w:ascii="宋体" w:hAnsi="宋体" w:eastAsia="宋体" w:cs="Times New Roman"/>
                <w:sz w:val="18"/>
                <w:szCs w:val="18"/>
              </w:rPr>
              <w:t>CVHG780（2461KW）</w:t>
            </w:r>
          </w:p>
        </w:tc>
        <w:tc>
          <w:tcPr>
            <w:tcW w:w="854" w:type="dxa"/>
            <w:tcBorders>
              <w:top w:val="single" w:color="auto" w:sz="4" w:space="0"/>
              <w:left w:val="single" w:color="auto" w:sz="4" w:space="0"/>
              <w:bottom w:val="single" w:color="auto" w:sz="4" w:space="0"/>
              <w:right w:val="single" w:color="auto" w:sz="4" w:space="0"/>
            </w:tcBorders>
            <w:vAlign w:val="center"/>
          </w:tcPr>
          <w:p w14:paraId="77761025">
            <w:pPr>
              <w:jc w:val="center"/>
              <w:rPr>
                <w:rFonts w:ascii="宋体" w:hAnsi="宋体" w:eastAsia="宋体" w:cs="Times New Roman"/>
                <w:sz w:val="18"/>
                <w:szCs w:val="18"/>
              </w:rPr>
            </w:pPr>
            <w:r>
              <w:rPr>
                <w:rFonts w:hint="eastAsia" w:ascii="宋体" w:hAnsi="宋体" w:eastAsia="宋体" w:cs="Times New Roman"/>
                <w:sz w:val="18"/>
                <w:szCs w:val="18"/>
              </w:rPr>
              <w:t>江苏</w:t>
            </w:r>
          </w:p>
        </w:tc>
        <w:tc>
          <w:tcPr>
            <w:tcW w:w="987" w:type="dxa"/>
            <w:tcBorders>
              <w:top w:val="single" w:color="auto" w:sz="4" w:space="0"/>
              <w:left w:val="single" w:color="auto" w:sz="4" w:space="0"/>
              <w:bottom w:val="single" w:color="auto" w:sz="4" w:space="0"/>
              <w:right w:val="single" w:color="auto" w:sz="4" w:space="0"/>
            </w:tcBorders>
            <w:vAlign w:val="center"/>
          </w:tcPr>
          <w:p w14:paraId="14185443">
            <w:pPr>
              <w:jc w:val="center"/>
              <w:rPr>
                <w:rFonts w:ascii="宋体" w:hAnsi="宋体" w:eastAsia="宋体" w:cs="Times New Roman"/>
                <w:sz w:val="18"/>
                <w:szCs w:val="18"/>
              </w:rPr>
            </w:pPr>
            <w:r>
              <w:rPr>
                <w:rFonts w:ascii="宋体" w:hAnsi="宋体" w:eastAsia="宋体" w:cs="Times New Roman"/>
                <w:sz w:val="18"/>
                <w:szCs w:val="18"/>
              </w:rPr>
              <w:t>3台</w:t>
            </w:r>
          </w:p>
        </w:tc>
        <w:tc>
          <w:tcPr>
            <w:tcW w:w="1038" w:type="dxa"/>
            <w:tcBorders>
              <w:top w:val="single" w:color="auto" w:sz="4" w:space="0"/>
              <w:left w:val="single" w:color="auto" w:sz="4" w:space="0"/>
              <w:bottom w:val="single" w:color="auto" w:sz="4" w:space="0"/>
              <w:right w:val="single" w:color="auto" w:sz="4" w:space="0"/>
            </w:tcBorders>
            <w:vAlign w:val="center"/>
          </w:tcPr>
          <w:p w14:paraId="2504BDB5">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3EFC002C">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7898C40F">
            <w:pPr>
              <w:jc w:val="center"/>
              <w:rPr>
                <w:rFonts w:ascii="宋体" w:hAnsi="宋体" w:eastAsia="宋体" w:cs="Times New Roman"/>
                <w:sz w:val="18"/>
                <w:szCs w:val="18"/>
              </w:rPr>
            </w:pPr>
          </w:p>
        </w:tc>
      </w:tr>
      <w:tr w14:paraId="78D1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7AEFC8F8">
            <w:pPr>
              <w:jc w:val="center"/>
              <w:rPr>
                <w:rFonts w:ascii="宋体" w:hAnsi="宋体" w:eastAsia="宋体" w:cs="Times New Roman"/>
                <w:sz w:val="18"/>
                <w:szCs w:val="18"/>
              </w:rPr>
            </w:pPr>
            <w:r>
              <w:rPr>
                <w:rFonts w:ascii="宋体" w:hAnsi="宋体" w:eastAsia="宋体" w:cs="Times New Roman"/>
                <w:sz w:val="18"/>
                <w:szCs w:val="18"/>
              </w:rPr>
              <w:t>7</w:t>
            </w:r>
          </w:p>
        </w:tc>
        <w:tc>
          <w:tcPr>
            <w:tcW w:w="1418" w:type="dxa"/>
            <w:tcBorders>
              <w:top w:val="single" w:color="auto" w:sz="4" w:space="0"/>
              <w:left w:val="single" w:color="auto" w:sz="4" w:space="0"/>
              <w:bottom w:val="single" w:color="auto" w:sz="4" w:space="0"/>
              <w:right w:val="single" w:color="auto" w:sz="4" w:space="0"/>
            </w:tcBorders>
            <w:vAlign w:val="center"/>
          </w:tcPr>
          <w:p w14:paraId="5C79ED48">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992" w:type="dxa"/>
            <w:tcBorders>
              <w:top w:val="single" w:color="auto" w:sz="4" w:space="0"/>
              <w:left w:val="single" w:color="auto" w:sz="4" w:space="0"/>
              <w:bottom w:val="single" w:color="auto" w:sz="4" w:space="0"/>
              <w:right w:val="single" w:color="auto" w:sz="4" w:space="0"/>
            </w:tcBorders>
            <w:vAlign w:val="center"/>
          </w:tcPr>
          <w:p w14:paraId="59065973">
            <w:pPr>
              <w:jc w:val="center"/>
              <w:rPr>
                <w:rFonts w:ascii="宋体" w:hAnsi="宋体" w:eastAsia="宋体" w:cs="Times New Roman"/>
                <w:sz w:val="18"/>
                <w:szCs w:val="18"/>
              </w:rPr>
            </w:pPr>
            <w:r>
              <w:rPr>
                <w:rFonts w:hint="eastAsia" w:ascii="宋体" w:hAnsi="宋体" w:eastAsia="宋体" w:cs="Times New Roman"/>
                <w:sz w:val="18"/>
                <w:szCs w:val="18"/>
              </w:rPr>
              <w:t>特灵</w:t>
            </w:r>
          </w:p>
        </w:tc>
        <w:tc>
          <w:tcPr>
            <w:tcW w:w="1044" w:type="dxa"/>
            <w:tcBorders>
              <w:top w:val="single" w:color="auto" w:sz="4" w:space="0"/>
              <w:left w:val="single" w:color="auto" w:sz="4" w:space="0"/>
              <w:bottom w:val="single" w:color="auto" w:sz="4" w:space="0"/>
              <w:right w:val="single" w:color="auto" w:sz="4" w:space="0"/>
            </w:tcBorders>
            <w:vAlign w:val="center"/>
          </w:tcPr>
          <w:p w14:paraId="52B9AD3F">
            <w:pPr>
              <w:jc w:val="center"/>
              <w:rPr>
                <w:rFonts w:ascii="宋体" w:hAnsi="宋体" w:eastAsia="宋体" w:cs="Times New Roman"/>
                <w:sz w:val="18"/>
                <w:szCs w:val="18"/>
              </w:rPr>
            </w:pPr>
            <w:r>
              <w:rPr>
                <w:rFonts w:ascii="宋体" w:hAnsi="宋体" w:eastAsia="宋体" w:cs="Times New Roman"/>
                <w:sz w:val="18"/>
                <w:szCs w:val="18"/>
              </w:rPr>
              <w:t>RTXA+（693KW）</w:t>
            </w:r>
          </w:p>
        </w:tc>
        <w:tc>
          <w:tcPr>
            <w:tcW w:w="854" w:type="dxa"/>
            <w:tcBorders>
              <w:top w:val="single" w:color="auto" w:sz="4" w:space="0"/>
              <w:left w:val="single" w:color="auto" w:sz="4" w:space="0"/>
              <w:bottom w:val="single" w:color="auto" w:sz="4" w:space="0"/>
              <w:right w:val="single" w:color="auto" w:sz="4" w:space="0"/>
            </w:tcBorders>
            <w:vAlign w:val="center"/>
          </w:tcPr>
          <w:p w14:paraId="78DA379C">
            <w:pPr>
              <w:jc w:val="center"/>
              <w:rPr>
                <w:rFonts w:ascii="宋体" w:hAnsi="宋体" w:eastAsia="宋体" w:cs="Times New Roman"/>
                <w:sz w:val="18"/>
                <w:szCs w:val="18"/>
              </w:rPr>
            </w:pPr>
            <w:r>
              <w:rPr>
                <w:rFonts w:hint="eastAsia" w:ascii="宋体" w:hAnsi="宋体" w:eastAsia="宋体" w:cs="Times New Roman"/>
                <w:sz w:val="18"/>
                <w:szCs w:val="18"/>
              </w:rPr>
              <w:t>江苏</w:t>
            </w:r>
          </w:p>
        </w:tc>
        <w:tc>
          <w:tcPr>
            <w:tcW w:w="987" w:type="dxa"/>
            <w:tcBorders>
              <w:top w:val="single" w:color="auto" w:sz="4" w:space="0"/>
              <w:left w:val="single" w:color="auto" w:sz="4" w:space="0"/>
              <w:bottom w:val="single" w:color="auto" w:sz="4" w:space="0"/>
              <w:right w:val="single" w:color="auto" w:sz="4" w:space="0"/>
            </w:tcBorders>
            <w:vAlign w:val="center"/>
          </w:tcPr>
          <w:p w14:paraId="4D8A5839">
            <w:pPr>
              <w:jc w:val="center"/>
              <w:rPr>
                <w:rFonts w:ascii="宋体" w:hAnsi="宋体" w:eastAsia="宋体" w:cs="Times New Roman"/>
                <w:sz w:val="18"/>
                <w:szCs w:val="18"/>
              </w:rPr>
            </w:pPr>
            <w:r>
              <w:rPr>
                <w:rFonts w:ascii="宋体" w:hAnsi="宋体" w:eastAsia="宋体" w:cs="Times New Roman"/>
                <w:sz w:val="18"/>
                <w:szCs w:val="18"/>
              </w:rPr>
              <w:t>2台</w:t>
            </w:r>
          </w:p>
        </w:tc>
        <w:tc>
          <w:tcPr>
            <w:tcW w:w="1038" w:type="dxa"/>
            <w:tcBorders>
              <w:top w:val="single" w:color="auto" w:sz="4" w:space="0"/>
              <w:left w:val="single" w:color="auto" w:sz="4" w:space="0"/>
              <w:bottom w:val="single" w:color="auto" w:sz="4" w:space="0"/>
              <w:right w:val="single" w:color="auto" w:sz="4" w:space="0"/>
            </w:tcBorders>
            <w:vAlign w:val="center"/>
          </w:tcPr>
          <w:p w14:paraId="5FCC8A47">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687584E5">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0E14D0AE">
            <w:pPr>
              <w:jc w:val="center"/>
              <w:rPr>
                <w:rFonts w:ascii="宋体" w:hAnsi="宋体" w:eastAsia="宋体" w:cs="Times New Roman"/>
                <w:sz w:val="18"/>
                <w:szCs w:val="18"/>
              </w:rPr>
            </w:pPr>
          </w:p>
        </w:tc>
      </w:tr>
      <w:tr w14:paraId="3BB3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54FEB825">
            <w:pPr>
              <w:jc w:val="center"/>
              <w:rPr>
                <w:rFonts w:ascii="宋体" w:hAnsi="宋体" w:eastAsia="宋体" w:cs="Times New Roman"/>
                <w:sz w:val="18"/>
                <w:szCs w:val="18"/>
              </w:rPr>
            </w:pPr>
            <w:r>
              <w:rPr>
                <w:rFonts w:ascii="宋体" w:hAnsi="宋体" w:eastAsia="宋体" w:cs="Times New Roman"/>
                <w:sz w:val="18"/>
                <w:szCs w:val="18"/>
              </w:rPr>
              <w:t>8</w:t>
            </w:r>
          </w:p>
        </w:tc>
        <w:tc>
          <w:tcPr>
            <w:tcW w:w="1418" w:type="dxa"/>
            <w:tcBorders>
              <w:top w:val="single" w:color="auto" w:sz="4" w:space="0"/>
              <w:left w:val="single" w:color="auto" w:sz="4" w:space="0"/>
              <w:bottom w:val="single" w:color="auto" w:sz="4" w:space="0"/>
              <w:right w:val="single" w:color="auto" w:sz="4" w:space="0"/>
            </w:tcBorders>
            <w:vAlign w:val="center"/>
          </w:tcPr>
          <w:p w14:paraId="3660E3CF">
            <w:pPr>
              <w:jc w:val="center"/>
              <w:rPr>
                <w:rFonts w:ascii="宋体" w:hAnsi="宋体" w:eastAsia="宋体" w:cs="Times New Roman"/>
                <w:sz w:val="18"/>
                <w:szCs w:val="18"/>
              </w:rPr>
            </w:pPr>
            <w:r>
              <w:rPr>
                <w:rFonts w:hint="eastAsia" w:ascii="宋体" w:hAnsi="宋体" w:eastAsia="宋体" w:cs="Times New Roman"/>
                <w:sz w:val="18"/>
                <w:szCs w:val="18"/>
              </w:rPr>
              <w:t>螺杆式风冷机组（特灵）</w:t>
            </w:r>
          </w:p>
        </w:tc>
        <w:tc>
          <w:tcPr>
            <w:tcW w:w="992" w:type="dxa"/>
            <w:tcBorders>
              <w:top w:val="single" w:color="auto" w:sz="4" w:space="0"/>
              <w:left w:val="single" w:color="auto" w:sz="4" w:space="0"/>
              <w:bottom w:val="single" w:color="auto" w:sz="4" w:space="0"/>
              <w:right w:val="single" w:color="auto" w:sz="4" w:space="0"/>
            </w:tcBorders>
            <w:vAlign w:val="center"/>
          </w:tcPr>
          <w:p w14:paraId="03CED2F0">
            <w:pPr>
              <w:jc w:val="center"/>
              <w:rPr>
                <w:rFonts w:ascii="宋体" w:hAnsi="宋体" w:eastAsia="宋体" w:cs="Times New Roman"/>
                <w:sz w:val="18"/>
                <w:szCs w:val="18"/>
              </w:rPr>
            </w:pPr>
            <w:r>
              <w:rPr>
                <w:rFonts w:hint="eastAsia" w:ascii="宋体" w:hAnsi="宋体" w:eastAsia="宋体" w:cs="Times New Roman"/>
                <w:sz w:val="18"/>
                <w:szCs w:val="18"/>
              </w:rPr>
              <w:t>特灵</w:t>
            </w:r>
          </w:p>
        </w:tc>
        <w:tc>
          <w:tcPr>
            <w:tcW w:w="1044" w:type="dxa"/>
            <w:tcBorders>
              <w:top w:val="single" w:color="auto" w:sz="4" w:space="0"/>
              <w:left w:val="single" w:color="auto" w:sz="4" w:space="0"/>
              <w:bottom w:val="single" w:color="auto" w:sz="4" w:space="0"/>
              <w:right w:val="single" w:color="auto" w:sz="4" w:space="0"/>
            </w:tcBorders>
            <w:vAlign w:val="center"/>
          </w:tcPr>
          <w:p w14:paraId="0E201930">
            <w:pPr>
              <w:jc w:val="center"/>
              <w:rPr>
                <w:rFonts w:ascii="宋体" w:hAnsi="宋体" w:eastAsia="宋体" w:cs="Times New Roman"/>
                <w:sz w:val="18"/>
                <w:szCs w:val="18"/>
              </w:rPr>
            </w:pPr>
            <w:r>
              <w:rPr>
                <w:rFonts w:ascii="宋体" w:hAnsi="宋体" w:eastAsia="宋体" w:cs="Times New Roman"/>
                <w:sz w:val="18"/>
                <w:szCs w:val="18"/>
              </w:rPr>
              <w:t>RTXA+（347KW）</w:t>
            </w:r>
          </w:p>
        </w:tc>
        <w:tc>
          <w:tcPr>
            <w:tcW w:w="854" w:type="dxa"/>
            <w:tcBorders>
              <w:top w:val="single" w:color="auto" w:sz="4" w:space="0"/>
              <w:left w:val="single" w:color="auto" w:sz="4" w:space="0"/>
              <w:bottom w:val="single" w:color="auto" w:sz="4" w:space="0"/>
              <w:right w:val="single" w:color="auto" w:sz="4" w:space="0"/>
            </w:tcBorders>
            <w:vAlign w:val="center"/>
          </w:tcPr>
          <w:p w14:paraId="4816D045">
            <w:pPr>
              <w:jc w:val="center"/>
              <w:rPr>
                <w:rFonts w:ascii="宋体" w:hAnsi="宋体" w:eastAsia="宋体" w:cs="Times New Roman"/>
                <w:sz w:val="18"/>
                <w:szCs w:val="18"/>
              </w:rPr>
            </w:pPr>
            <w:r>
              <w:rPr>
                <w:rFonts w:hint="eastAsia" w:ascii="宋体" w:hAnsi="宋体" w:eastAsia="宋体" w:cs="Times New Roman"/>
                <w:sz w:val="18"/>
                <w:szCs w:val="18"/>
              </w:rPr>
              <w:t>江苏</w:t>
            </w:r>
          </w:p>
        </w:tc>
        <w:tc>
          <w:tcPr>
            <w:tcW w:w="987" w:type="dxa"/>
            <w:tcBorders>
              <w:top w:val="single" w:color="auto" w:sz="4" w:space="0"/>
              <w:left w:val="single" w:color="auto" w:sz="4" w:space="0"/>
              <w:bottom w:val="single" w:color="auto" w:sz="4" w:space="0"/>
              <w:right w:val="single" w:color="auto" w:sz="4" w:space="0"/>
            </w:tcBorders>
            <w:vAlign w:val="center"/>
          </w:tcPr>
          <w:p w14:paraId="2856B1CA">
            <w:pPr>
              <w:jc w:val="center"/>
              <w:rPr>
                <w:rFonts w:ascii="宋体" w:hAnsi="宋体" w:eastAsia="宋体" w:cs="Times New Roman"/>
                <w:sz w:val="18"/>
                <w:szCs w:val="18"/>
              </w:rPr>
            </w:pPr>
            <w:r>
              <w:rPr>
                <w:rFonts w:ascii="宋体" w:hAnsi="宋体" w:eastAsia="宋体" w:cs="Times New Roman"/>
                <w:sz w:val="18"/>
                <w:szCs w:val="18"/>
              </w:rPr>
              <w:t>2台</w:t>
            </w:r>
          </w:p>
        </w:tc>
        <w:tc>
          <w:tcPr>
            <w:tcW w:w="1038" w:type="dxa"/>
            <w:tcBorders>
              <w:top w:val="single" w:color="auto" w:sz="4" w:space="0"/>
              <w:left w:val="single" w:color="auto" w:sz="4" w:space="0"/>
              <w:bottom w:val="single" w:color="auto" w:sz="4" w:space="0"/>
              <w:right w:val="single" w:color="auto" w:sz="4" w:space="0"/>
            </w:tcBorders>
            <w:vAlign w:val="center"/>
          </w:tcPr>
          <w:p w14:paraId="4E48B5C5">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4B7FC35A">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21298663">
            <w:pPr>
              <w:jc w:val="center"/>
              <w:rPr>
                <w:rFonts w:ascii="宋体" w:hAnsi="宋体" w:eastAsia="宋体" w:cs="Times New Roman"/>
                <w:sz w:val="18"/>
                <w:szCs w:val="18"/>
              </w:rPr>
            </w:pPr>
          </w:p>
        </w:tc>
      </w:tr>
      <w:tr w14:paraId="7F96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355B259D">
            <w:pPr>
              <w:jc w:val="center"/>
              <w:rPr>
                <w:rFonts w:ascii="宋体" w:hAnsi="宋体" w:eastAsia="宋体" w:cs="Times New Roman"/>
                <w:sz w:val="18"/>
                <w:szCs w:val="18"/>
              </w:rPr>
            </w:pPr>
            <w:r>
              <w:rPr>
                <w:rFonts w:ascii="宋体" w:hAnsi="宋体" w:eastAsia="宋体" w:cs="Times New Roman"/>
                <w:sz w:val="18"/>
                <w:szCs w:val="18"/>
              </w:rPr>
              <w:t>9</w:t>
            </w:r>
          </w:p>
        </w:tc>
        <w:tc>
          <w:tcPr>
            <w:tcW w:w="1418" w:type="dxa"/>
            <w:tcBorders>
              <w:top w:val="single" w:color="auto" w:sz="4" w:space="0"/>
              <w:left w:val="single" w:color="auto" w:sz="4" w:space="0"/>
              <w:bottom w:val="single" w:color="auto" w:sz="4" w:space="0"/>
              <w:right w:val="single" w:color="auto" w:sz="4" w:space="0"/>
            </w:tcBorders>
            <w:vAlign w:val="center"/>
          </w:tcPr>
          <w:p w14:paraId="27FCB813">
            <w:pPr>
              <w:jc w:val="center"/>
              <w:rPr>
                <w:rFonts w:ascii="宋体" w:hAnsi="宋体" w:eastAsia="宋体" w:cs="Times New Roman"/>
                <w:sz w:val="18"/>
                <w:szCs w:val="18"/>
              </w:rPr>
            </w:pPr>
            <w:r>
              <w:rPr>
                <w:rFonts w:hint="eastAsia" w:ascii="宋体" w:hAnsi="宋体" w:eastAsia="宋体" w:cs="Times New Roman"/>
                <w:sz w:val="18"/>
                <w:szCs w:val="18"/>
              </w:rPr>
              <w:t>风冷螺杆热泵机组</w:t>
            </w:r>
          </w:p>
        </w:tc>
        <w:tc>
          <w:tcPr>
            <w:tcW w:w="992" w:type="dxa"/>
            <w:tcBorders>
              <w:top w:val="single" w:color="auto" w:sz="4" w:space="0"/>
              <w:left w:val="single" w:color="auto" w:sz="4" w:space="0"/>
              <w:bottom w:val="single" w:color="auto" w:sz="4" w:space="0"/>
              <w:right w:val="single" w:color="auto" w:sz="4" w:space="0"/>
            </w:tcBorders>
            <w:vAlign w:val="center"/>
          </w:tcPr>
          <w:p w14:paraId="21429F20">
            <w:pPr>
              <w:jc w:val="center"/>
              <w:rPr>
                <w:rFonts w:ascii="宋体" w:hAnsi="宋体" w:eastAsia="宋体" w:cs="Times New Roman"/>
                <w:sz w:val="18"/>
                <w:szCs w:val="18"/>
              </w:rPr>
            </w:pPr>
            <w:r>
              <w:rPr>
                <w:rFonts w:hint="eastAsia" w:ascii="宋体" w:hAnsi="宋体" w:eastAsia="宋体" w:cs="Times New Roman"/>
                <w:sz w:val="18"/>
                <w:szCs w:val="18"/>
              </w:rPr>
              <w:t>顿汉布什</w:t>
            </w:r>
          </w:p>
        </w:tc>
        <w:tc>
          <w:tcPr>
            <w:tcW w:w="1044" w:type="dxa"/>
            <w:tcBorders>
              <w:top w:val="single" w:color="auto" w:sz="4" w:space="0"/>
              <w:left w:val="single" w:color="auto" w:sz="4" w:space="0"/>
              <w:bottom w:val="single" w:color="auto" w:sz="4" w:space="0"/>
              <w:right w:val="single" w:color="auto" w:sz="4" w:space="0"/>
            </w:tcBorders>
            <w:vAlign w:val="center"/>
          </w:tcPr>
          <w:p w14:paraId="13888E2D">
            <w:pPr>
              <w:jc w:val="center"/>
              <w:rPr>
                <w:rFonts w:ascii="宋体" w:hAnsi="宋体" w:eastAsia="宋体" w:cs="Times New Roman"/>
                <w:sz w:val="18"/>
                <w:szCs w:val="18"/>
              </w:rPr>
            </w:pPr>
            <w:r>
              <w:rPr>
                <w:rFonts w:ascii="宋体" w:hAnsi="宋体" w:eastAsia="宋体" w:cs="Times New Roman"/>
                <w:sz w:val="18"/>
                <w:szCs w:val="18"/>
              </w:rPr>
              <w:t>ACDXHP250</w:t>
            </w:r>
          </w:p>
        </w:tc>
        <w:tc>
          <w:tcPr>
            <w:tcW w:w="854" w:type="dxa"/>
            <w:tcBorders>
              <w:top w:val="single" w:color="auto" w:sz="4" w:space="0"/>
              <w:left w:val="single" w:color="auto" w:sz="4" w:space="0"/>
              <w:bottom w:val="single" w:color="auto" w:sz="4" w:space="0"/>
              <w:right w:val="single" w:color="auto" w:sz="4" w:space="0"/>
            </w:tcBorders>
            <w:vAlign w:val="center"/>
          </w:tcPr>
          <w:p w14:paraId="4D72C149">
            <w:pPr>
              <w:jc w:val="center"/>
              <w:rPr>
                <w:rFonts w:ascii="宋体" w:hAnsi="宋体" w:eastAsia="宋体" w:cs="Times New Roman"/>
                <w:sz w:val="18"/>
                <w:szCs w:val="18"/>
              </w:rPr>
            </w:pPr>
            <w:r>
              <w:rPr>
                <w:rFonts w:hint="eastAsia" w:ascii="宋体" w:hAnsi="宋体" w:eastAsia="宋体" w:cs="Times New Roman"/>
                <w:sz w:val="18"/>
                <w:szCs w:val="18"/>
              </w:rPr>
              <w:t>上海</w:t>
            </w:r>
          </w:p>
        </w:tc>
        <w:tc>
          <w:tcPr>
            <w:tcW w:w="987" w:type="dxa"/>
            <w:tcBorders>
              <w:top w:val="single" w:color="auto" w:sz="4" w:space="0"/>
              <w:left w:val="single" w:color="auto" w:sz="4" w:space="0"/>
              <w:bottom w:val="single" w:color="auto" w:sz="4" w:space="0"/>
              <w:right w:val="single" w:color="auto" w:sz="4" w:space="0"/>
            </w:tcBorders>
            <w:vAlign w:val="center"/>
          </w:tcPr>
          <w:p w14:paraId="0B375F5A">
            <w:pPr>
              <w:jc w:val="center"/>
              <w:rPr>
                <w:rFonts w:ascii="宋体" w:hAnsi="宋体" w:eastAsia="宋体" w:cs="Times New Roman"/>
                <w:sz w:val="18"/>
                <w:szCs w:val="18"/>
              </w:rPr>
            </w:pPr>
            <w:r>
              <w:rPr>
                <w:rFonts w:ascii="宋体" w:hAnsi="宋体" w:eastAsia="宋体" w:cs="Times New Roman"/>
                <w:sz w:val="18"/>
                <w:szCs w:val="18"/>
              </w:rPr>
              <w:t>1台</w:t>
            </w:r>
          </w:p>
        </w:tc>
        <w:tc>
          <w:tcPr>
            <w:tcW w:w="1038" w:type="dxa"/>
            <w:tcBorders>
              <w:top w:val="single" w:color="auto" w:sz="4" w:space="0"/>
              <w:left w:val="single" w:color="auto" w:sz="4" w:space="0"/>
              <w:bottom w:val="single" w:color="auto" w:sz="4" w:space="0"/>
              <w:right w:val="single" w:color="auto" w:sz="4" w:space="0"/>
            </w:tcBorders>
            <w:vAlign w:val="center"/>
          </w:tcPr>
          <w:p w14:paraId="493F2F95">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1296DE4B">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76E46DE7">
            <w:pPr>
              <w:jc w:val="center"/>
              <w:rPr>
                <w:rFonts w:ascii="宋体" w:hAnsi="宋体" w:eastAsia="宋体" w:cs="Times New Roman"/>
                <w:sz w:val="18"/>
                <w:szCs w:val="18"/>
              </w:rPr>
            </w:pPr>
          </w:p>
        </w:tc>
      </w:tr>
      <w:tr w14:paraId="3AD8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4ED79949">
            <w:pPr>
              <w:jc w:val="center"/>
              <w:rPr>
                <w:rFonts w:ascii="宋体" w:hAnsi="宋体" w:eastAsia="宋体" w:cs="Times New Roman"/>
                <w:sz w:val="18"/>
                <w:szCs w:val="18"/>
              </w:rPr>
            </w:pPr>
            <w:r>
              <w:rPr>
                <w:rFonts w:ascii="宋体" w:hAnsi="宋体" w:eastAsia="宋体" w:cs="Times New Roman"/>
                <w:sz w:val="18"/>
                <w:szCs w:val="18"/>
              </w:rPr>
              <w:t>10</w:t>
            </w:r>
          </w:p>
        </w:tc>
        <w:tc>
          <w:tcPr>
            <w:tcW w:w="1418" w:type="dxa"/>
            <w:tcBorders>
              <w:top w:val="single" w:color="auto" w:sz="4" w:space="0"/>
              <w:left w:val="single" w:color="auto" w:sz="4" w:space="0"/>
              <w:bottom w:val="single" w:color="auto" w:sz="4" w:space="0"/>
              <w:right w:val="single" w:color="auto" w:sz="4" w:space="0"/>
            </w:tcBorders>
            <w:vAlign w:val="center"/>
          </w:tcPr>
          <w:p w14:paraId="3D016406">
            <w:pPr>
              <w:jc w:val="center"/>
              <w:rPr>
                <w:rFonts w:ascii="宋体" w:hAnsi="宋体" w:eastAsia="宋体" w:cs="Times New Roman"/>
                <w:sz w:val="18"/>
                <w:szCs w:val="18"/>
              </w:rPr>
            </w:pPr>
            <w:r>
              <w:rPr>
                <w:rFonts w:hint="eastAsia" w:ascii="宋体" w:hAnsi="宋体" w:eastAsia="宋体" w:cs="Times New Roman"/>
                <w:sz w:val="18"/>
                <w:szCs w:val="18"/>
              </w:rPr>
              <w:t>风冷螺杆热泵机组</w:t>
            </w:r>
          </w:p>
        </w:tc>
        <w:tc>
          <w:tcPr>
            <w:tcW w:w="992" w:type="dxa"/>
            <w:tcBorders>
              <w:top w:val="single" w:color="auto" w:sz="4" w:space="0"/>
              <w:left w:val="single" w:color="auto" w:sz="4" w:space="0"/>
              <w:bottom w:val="single" w:color="auto" w:sz="4" w:space="0"/>
              <w:right w:val="single" w:color="auto" w:sz="4" w:space="0"/>
            </w:tcBorders>
            <w:vAlign w:val="center"/>
          </w:tcPr>
          <w:p w14:paraId="6118DBB7">
            <w:pPr>
              <w:jc w:val="center"/>
              <w:rPr>
                <w:rFonts w:ascii="宋体" w:hAnsi="宋体" w:eastAsia="宋体" w:cs="Times New Roman"/>
                <w:sz w:val="18"/>
                <w:szCs w:val="18"/>
              </w:rPr>
            </w:pPr>
            <w:r>
              <w:rPr>
                <w:rFonts w:hint="eastAsia" w:ascii="宋体" w:hAnsi="宋体" w:eastAsia="宋体" w:cs="Times New Roman"/>
                <w:sz w:val="18"/>
                <w:szCs w:val="18"/>
              </w:rPr>
              <w:t>顿汉布什</w:t>
            </w:r>
          </w:p>
        </w:tc>
        <w:tc>
          <w:tcPr>
            <w:tcW w:w="1044" w:type="dxa"/>
            <w:tcBorders>
              <w:top w:val="single" w:color="auto" w:sz="4" w:space="0"/>
              <w:left w:val="single" w:color="auto" w:sz="4" w:space="0"/>
              <w:bottom w:val="single" w:color="auto" w:sz="4" w:space="0"/>
              <w:right w:val="single" w:color="auto" w:sz="4" w:space="0"/>
            </w:tcBorders>
            <w:vAlign w:val="center"/>
          </w:tcPr>
          <w:p w14:paraId="1FA772BF">
            <w:pPr>
              <w:jc w:val="center"/>
              <w:rPr>
                <w:rFonts w:ascii="宋体" w:hAnsi="宋体" w:eastAsia="宋体" w:cs="Times New Roman"/>
                <w:sz w:val="18"/>
                <w:szCs w:val="18"/>
              </w:rPr>
            </w:pPr>
            <w:r>
              <w:rPr>
                <w:rFonts w:ascii="宋体" w:hAnsi="宋体" w:eastAsia="宋体" w:cs="Times New Roman"/>
                <w:sz w:val="18"/>
                <w:szCs w:val="18"/>
              </w:rPr>
              <w:t>ACDXHP290</w:t>
            </w:r>
          </w:p>
        </w:tc>
        <w:tc>
          <w:tcPr>
            <w:tcW w:w="854" w:type="dxa"/>
            <w:tcBorders>
              <w:top w:val="single" w:color="auto" w:sz="4" w:space="0"/>
              <w:left w:val="single" w:color="auto" w:sz="4" w:space="0"/>
              <w:bottom w:val="single" w:color="auto" w:sz="4" w:space="0"/>
              <w:right w:val="single" w:color="auto" w:sz="4" w:space="0"/>
            </w:tcBorders>
            <w:vAlign w:val="center"/>
          </w:tcPr>
          <w:p w14:paraId="400A44FB">
            <w:pPr>
              <w:jc w:val="center"/>
              <w:rPr>
                <w:rFonts w:ascii="宋体" w:hAnsi="宋体" w:eastAsia="宋体" w:cs="Times New Roman"/>
                <w:sz w:val="18"/>
                <w:szCs w:val="18"/>
              </w:rPr>
            </w:pPr>
            <w:r>
              <w:rPr>
                <w:rFonts w:hint="eastAsia" w:ascii="宋体" w:hAnsi="宋体" w:eastAsia="宋体" w:cs="Times New Roman"/>
                <w:sz w:val="18"/>
                <w:szCs w:val="18"/>
              </w:rPr>
              <w:t>上海</w:t>
            </w:r>
          </w:p>
        </w:tc>
        <w:tc>
          <w:tcPr>
            <w:tcW w:w="987" w:type="dxa"/>
            <w:tcBorders>
              <w:top w:val="single" w:color="auto" w:sz="4" w:space="0"/>
              <w:left w:val="single" w:color="auto" w:sz="4" w:space="0"/>
              <w:bottom w:val="single" w:color="auto" w:sz="4" w:space="0"/>
              <w:right w:val="single" w:color="auto" w:sz="4" w:space="0"/>
            </w:tcBorders>
            <w:vAlign w:val="center"/>
          </w:tcPr>
          <w:p w14:paraId="5A8C619E">
            <w:pPr>
              <w:jc w:val="center"/>
              <w:rPr>
                <w:rFonts w:ascii="宋体" w:hAnsi="宋体" w:eastAsia="宋体" w:cs="Times New Roman"/>
                <w:sz w:val="18"/>
                <w:szCs w:val="18"/>
              </w:rPr>
            </w:pPr>
            <w:r>
              <w:rPr>
                <w:rFonts w:ascii="宋体" w:hAnsi="宋体" w:eastAsia="宋体" w:cs="Times New Roman"/>
                <w:sz w:val="18"/>
                <w:szCs w:val="18"/>
              </w:rPr>
              <w:t>1台</w:t>
            </w:r>
          </w:p>
        </w:tc>
        <w:tc>
          <w:tcPr>
            <w:tcW w:w="1038" w:type="dxa"/>
            <w:tcBorders>
              <w:top w:val="single" w:color="auto" w:sz="4" w:space="0"/>
              <w:left w:val="single" w:color="auto" w:sz="4" w:space="0"/>
              <w:bottom w:val="single" w:color="auto" w:sz="4" w:space="0"/>
              <w:right w:val="single" w:color="auto" w:sz="4" w:space="0"/>
            </w:tcBorders>
            <w:vAlign w:val="center"/>
          </w:tcPr>
          <w:p w14:paraId="62A11439">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04981D30">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60503AA9">
            <w:pPr>
              <w:jc w:val="center"/>
              <w:rPr>
                <w:rFonts w:ascii="宋体" w:hAnsi="宋体" w:eastAsia="宋体" w:cs="Times New Roman"/>
                <w:sz w:val="18"/>
                <w:szCs w:val="18"/>
              </w:rPr>
            </w:pPr>
          </w:p>
        </w:tc>
      </w:tr>
      <w:tr w14:paraId="1E40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1DC9367F">
            <w:pPr>
              <w:jc w:val="center"/>
              <w:rPr>
                <w:rFonts w:ascii="宋体" w:hAnsi="宋体" w:eastAsia="宋体" w:cs="Times New Roman"/>
                <w:sz w:val="18"/>
                <w:szCs w:val="18"/>
              </w:rPr>
            </w:pPr>
            <w:r>
              <w:rPr>
                <w:rFonts w:ascii="宋体" w:hAnsi="宋体" w:eastAsia="宋体" w:cs="Times New Roman"/>
                <w:sz w:val="18"/>
                <w:szCs w:val="18"/>
              </w:rPr>
              <w:t>11</w:t>
            </w:r>
          </w:p>
        </w:tc>
        <w:tc>
          <w:tcPr>
            <w:tcW w:w="1418" w:type="dxa"/>
            <w:tcBorders>
              <w:top w:val="single" w:color="auto" w:sz="4" w:space="0"/>
              <w:left w:val="single" w:color="auto" w:sz="4" w:space="0"/>
              <w:bottom w:val="single" w:color="auto" w:sz="4" w:space="0"/>
              <w:right w:val="single" w:color="auto" w:sz="4" w:space="0"/>
            </w:tcBorders>
            <w:vAlign w:val="center"/>
          </w:tcPr>
          <w:p w14:paraId="252F6924">
            <w:pPr>
              <w:jc w:val="center"/>
              <w:rPr>
                <w:rFonts w:ascii="宋体" w:hAnsi="宋体" w:eastAsia="宋体" w:cs="Times New Roman"/>
                <w:sz w:val="18"/>
                <w:szCs w:val="18"/>
              </w:rPr>
            </w:pPr>
            <w:r>
              <w:rPr>
                <w:rFonts w:hint="eastAsia" w:ascii="宋体" w:hAnsi="宋体" w:eastAsia="宋体" w:cs="Times New Roman"/>
                <w:sz w:val="18"/>
                <w:szCs w:val="18"/>
              </w:rPr>
              <w:t>通炮</w:t>
            </w:r>
          </w:p>
        </w:tc>
        <w:tc>
          <w:tcPr>
            <w:tcW w:w="992" w:type="dxa"/>
            <w:tcBorders>
              <w:top w:val="single" w:color="auto" w:sz="4" w:space="0"/>
              <w:left w:val="single" w:color="auto" w:sz="4" w:space="0"/>
              <w:bottom w:val="single" w:color="auto" w:sz="4" w:space="0"/>
              <w:right w:val="single" w:color="auto" w:sz="4" w:space="0"/>
            </w:tcBorders>
            <w:vAlign w:val="center"/>
          </w:tcPr>
          <w:p w14:paraId="03F20642">
            <w:pPr>
              <w:jc w:val="center"/>
              <w:rPr>
                <w:rFonts w:ascii="宋体" w:hAnsi="宋体" w:eastAsia="宋体" w:cs="Times New Roman"/>
                <w:sz w:val="18"/>
                <w:szCs w:val="18"/>
              </w:rPr>
            </w:pPr>
          </w:p>
        </w:tc>
        <w:tc>
          <w:tcPr>
            <w:tcW w:w="1044" w:type="dxa"/>
            <w:tcBorders>
              <w:top w:val="single" w:color="auto" w:sz="4" w:space="0"/>
              <w:left w:val="single" w:color="auto" w:sz="4" w:space="0"/>
              <w:bottom w:val="single" w:color="auto" w:sz="4" w:space="0"/>
              <w:right w:val="single" w:color="auto" w:sz="4" w:space="0"/>
            </w:tcBorders>
            <w:vAlign w:val="center"/>
          </w:tcPr>
          <w:p w14:paraId="381CBE5F">
            <w:pPr>
              <w:jc w:val="center"/>
              <w:rPr>
                <w:rFonts w:ascii="宋体" w:hAnsi="宋体" w:eastAsia="宋体" w:cs="Times New Roman"/>
                <w:sz w:val="18"/>
                <w:szCs w:val="18"/>
              </w:rPr>
            </w:pPr>
          </w:p>
        </w:tc>
        <w:tc>
          <w:tcPr>
            <w:tcW w:w="854" w:type="dxa"/>
            <w:tcBorders>
              <w:top w:val="single" w:color="auto" w:sz="4" w:space="0"/>
              <w:left w:val="single" w:color="auto" w:sz="4" w:space="0"/>
              <w:bottom w:val="single" w:color="auto" w:sz="4" w:space="0"/>
              <w:right w:val="single" w:color="auto" w:sz="4" w:space="0"/>
            </w:tcBorders>
            <w:vAlign w:val="center"/>
          </w:tcPr>
          <w:p w14:paraId="1D499887">
            <w:pPr>
              <w:jc w:val="center"/>
              <w:rPr>
                <w:rFonts w:ascii="宋体" w:hAnsi="宋体" w:eastAsia="宋体" w:cs="Times New Roman"/>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14:paraId="76538CED">
            <w:pPr>
              <w:jc w:val="center"/>
              <w:rPr>
                <w:rFonts w:ascii="宋体" w:hAnsi="宋体" w:eastAsia="宋体" w:cs="Times New Roman"/>
                <w:sz w:val="18"/>
                <w:szCs w:val="18"/>
              </w:rPr>
            </w:pPr>
            <w:r>
              <w:rPr>
                <w:rFonts w:ascii="宋体" w:hAnsi="宋体" w:eastAsia="宋体" w:cs="Times New Roman"/>
                <w:sz w:val="18"/>
                <w:szCs w:val="18"/>
              </w:rPr>
              <w:t>6</w:t>
            </w:r>
          </w:p>
        </w:tc>
        <w:tc>
          <w:tcPr>
            <w:tcW w:w="1038" w:type="dxa"/>
            <w:tcBorders>
              <w:top w:val="single" w:color="auto" w:sz="4" w:space="0"/>
              <w:left w:val="single" w:color="auto" w:sz="4" w:space="0"/>
              <w:bottom w:val="single" w:color="auto" w:sz="4" w:space="0"/>
              <w:right w:val="single" w:color="auto" w:sz="4" w:space="0"/>
            </w:tcBorders>
            <w:vAlign w:val="center"/>
          </w:tcPr>
          <w:p w14:paraId="2A6C4F01">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2B6E8531">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49C2915B">
            <w:pPr>
              <w:jc w:val="center"/>
              <w:rPr>
                <w:rFonts w:ascii="宋体" w:hAnsi="宋体" w:eastAsia="宋体" w:cs="Times New Roman"/>
                <w:sz w:val="18"/>
                <w:szCs w:val="18"/>
              </w:rPr>
            </w:pPr>
          </w:p>
        </w:tc>
      </w:tr>
      <w:tr w14:paraId="4D48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2175E7B1">
            <w:pPr>
              <w:jc w:val="center"/>
              <w:rPr>
                <w:rFonts w:ascii="宋体" w:hAnsi="宋体" w:eastAsia="宋体" w:cs="Times New Roman"/>
                <w:sz w:val="18"/>
                <w:szCs w:val="18"/>
              </w:rPr>
            </w:pPr>
            <w:r>
              <w:rPr>
                <w:rFonts w:ascii="宋体" w:hAnsi="宋体" w:eastAsia="宋体" w:cs="Times New Roman"/>
                <w:sz w:val="18"/>
                <w:szCs w:val="18"/>
              </w:rPr>
              <w:t>12</w:t>
            </w:r>
          </w:p>
        </w:tc>
        <w:tc>
          <w:tcPr>
            <w:tcW w:w="1418" w:type="dxa"/>
            <w:tcBorders>
              <w:top w:val="single" w:color="auto" w:sz="4" w:space="0"/>
              <w:left w:val="single" w:color="auto" w:sz="4" w:space="0"/>
              <w:bottom w:val="single" w:color="auto" w:sz="4" w:space="0"/>
              <w:right w:val="single" w:color="auto" w:sz="4" w:space="0"/>
            </w:tcBorders>
            <w:vAlign w:val="center"/>
          </w:tcPr>
          <w:p w14:paraId="0AAA24E9">
            <w:pPr>
              <w:jc w:val="center"/>
              <w:rPr>
                <w:rFonts w:ascii="宋体" w:hAnsi="宋体" w:eastAsia="宋体" w:cs="Times New Roman"/>
                <w:sz w:val="18"/>
                <w:szCs w:val="18"/>
              </w:rPr>
            </w:pPr>
            <w:r>
              <w:rPr>
                <w:rFonts w:hint="eastAsia" w:ascii="宋体" w:hAnsi="宋体" w:eastAsia="宋体" w:cs="Times New Roman"/>
                <w:sz w:val="18"/>
                <w:szCs w:val="18"/>
              </w:rPr>
              <w:t>主机翅片</w:t>
            </w:r>
          </w:p>
          <w:p w14:paraId="73742749">
            <w:pPr>
              <w:jc w:val="center"/>
              <w:rPr>
                <w:rFonts w:ascii="宋体" w:hAnsi="宋体" w:eastAsia="宋体" w:cs="Times New Roman"/>
                <w:sz w:val="18"/>
                <w:szCs w:val="18"/>
              </w:rPr>
            </w:pPr>
            <w:r>
              <w:rPr>
                <w:rFonts w:hint="eastAsia" w:ascii="宋体" w:hAnsi="宋体" w:eastAsia="宋体" w:cs="Times New Roman"/>
                <w:sz w:val="18"/>
                <w:szCs w:val="18"/>
              </w:rPr>
              <w:t>清洗</w:t>
            </w:r>
          </w:p>
        </w:tc>
        <w:tc>
          <w:tcPr>
            <w:tcW w:w="992" w:type="dxa"/>
            <w:tcBorders>
              <w:top w:val="single" w:color="auto" w:sz="4" w:space="0"/>
              <w:left w:val="single" w:color="auto" w:sz="4" w:space="0"/>
              <w:bottom w:val="single" w:color="auto" w:sz="4" w:space="0"/>
              <w:right w:val="single" w:color="auto" w:sz="4" w:space="0"/>
            </w:tcBorders>
            <w:vAlign w:val="center"/>
          </w:tcPr>
          <w:p w14:paraId="1A69B909">
            <w:pPr>
              <w:jc w:val="center"/>
              <w:rPr>
                <w:rFonts w:ascii="宋体" w:hAnsi="宋体" w:eastAsia="宋体" w:cs="Times New Roman"/>
                <w:sz w:val="18"/>
                <w:szCs w:val="18"/>
              </w:rPr>
            </w:pPr>
          </w:p>
        </w:tc>
        <w:tc>
          <w:tcPr>
            <w:tcW w:w="1044" w:type="dxa"/>
            <w:tcBorders>
              <w:top w:val="single" w:color="auto" w:sz="4" w:space="0"/>
              <w:left w:val="single" w:color="auto" w:sz="4" w:space="0"/>
              <w:bottom w:val="single" w:color="auto" w:sz="4" w:space="0"/>
              <w:right w:val="single" w:color="auto" w:sz="4" w:space="0"/>
            </w:tcBorders>
            <w:vAlign w:val="center"/>
          </w:tcPr>
          <w:p w14:paraId="24B83589">
            <w:pPr>
              <w:jc w:val="center"/>
              <w:rPr>
                <w:rFonts w:ascii="宋体" w:hAnsi="宋体" w:eastAsia="宋体" w:cs="Times New Roman"/>
                <w:sz w:val="18"/>
                <w:szCs w:val="18"/>
              </w:rPr>
            </w:pPr>
          </w:p>
        </w:tc>
        <w:tc>
          <w:tcPr>
            <w:tcW w:w="854" w:type="dxa"/>
            <w:tcBorders>
              <w:top w:val="single" w:color="auto" w:sz="4" w:space="0"/>
              <w:left w:val="single" w:color="auto" w:sz="4" w:space="0"/>
              <w:bottom w:val="single" w:color="auto" w:sz="4" w:space="0"/>
              <w:right w:val="single" w:color="auto" w:sz="4" w:space="0"/>
            </w:tcBorders>
            <w:vAlign w:val="center"/>
          </w:tcPr>
          <w:p w14:paraId="30AB6611">
            <w:pPr>
              <w:jc w:val="center"/>
              <w:rPr>
                <w:rFonts w:ascii="宋体" w:hAnsi="宋体" w:eastAsia="宋体" w:cs="Times New Roman"/>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14:paraId="47A6BA71">
            <w:pPr>
              <w:jc w:val="center"/>
              <w:rPr>
                <w:rFonts w:ascii="宋体" w:hAnsi="宋体" w:eastAsia="宋体" w:cs="Times New Roman"/>
                <w:sz w:val="18"/>
                <w:szCs w:val="18"/>
              </w:rPr>
            </w:pPr>
            <w:r>
              <w:rPr>
                <w:rFonts w:ascii="宋体" w:hAnsi="宋体" w:eastAsia="宋体" w:cs="Times New Roman"/>
                <w:sz w:val="18"/>
                <w:szCs w:val="18"/>
              </w:rPr>
              <w:t>10</w:t>
            </w:r>
          </w:p>
        </w:tc>
        <w:tc>
          <w:tcPr>
            <w:tcW w:w="1038" w:type="dxa"/>
            <w:tcBorders>
              <w:top w:val="single" w:color="auto" w:sz="4" w:space="0"/>
              <w:left w:val="single" w:color="auto" w:sz="4" w:space="0"/>
              <w:bottom w:val="single" w:color="auto" w:sz="4" w:space="0"/>
              <w:right w:val="single" w:color="auto" w:sz="4" w:space="0"/>
            </w:tcBorders>
            <w:vAlign w:val="center"/>
          </w:tcPr>
          <w:p w14:paraId="38C43C4A">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7AB18746">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589A34A7">
            <w:pPr>
              <w:jc w:val="center"/>
              <w:rPr>
                <w:rFonts w:ascii="宋体" w:hAnsi="宋体" w:eastAsia="宋体" w:cs="Times New Roman"/>
                <w:sz w:val="18"/>
                <w:szCs w:val="18"/>
              </w:rPr>
            </w:pPr>
          </w:p>
        </w:tc>
      </w:tr>
      <w:tr w14:paraId="374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tcBorders>
              <w:top w:val="single" w:color="auto" w:sz="4" w:space="0"/>
              <w:left w:val="single" w:color="auto" w:sz="4" w:space="0"/>
              <w:bottom w:val="single" w:color="auto" w:sz="4" w:space="0"/>
              <w:right w:val="single" w:color="auto" w:sz="4" w:space="0"/>
            </w:tcBorders>
            <w:vAlign w:val="center"/>
          </w:tcPr>
          <w:p w14:paraId="490B7C4F">
            <w:pPr>
              <w:jc w:val="center"/>
              <w:rPr>
                <w:rFonts w:ascii="宋体" w:hAnsi="宋体" w:eastAsia="宋体" w:cs="Times New Roman"/>
                <w:sz w:val="18"/>
                <w:szCs w:val="18"/>
              </w:rPr>
            </w:pPr>
            <w:r>
              <w:rPr>
                <w:rFonts w:hint="eastAsia" w:ascii="宋体" w:hAnsi="宋体" w:eastAsia="宋体" w:cs="Times New Roman"/>
                <w:sz w:val="18"/>
                <w:szCs w:val="18"/>
              </w:rPr>
              <w:t>一年共计</w:t>
            </w:r>
          </w:p>
        </w:tc>
        <w:tc>
          <w:tcPr>
            <w:tcW w:w="1418" w:type="dxa"/>
            <w:tcBorders>
              <w:top w:val="single" w:color="auto" w:sz="4" w:space="0"/>
              <w:left w:val="single" w:color="auto" w:sz="4" w:space="0"/>
              <w:bottom w:val="single" w:color="auto" w:sz="4" w:space="0"/>
              <w:right w:val="single" w:color="auto" w:sz="4" w:space="0"/>
            </w:tcBorders>
            <w:vAlign w:val="center"/>
          </w:tcPr>
          <w:p w14:paraId="2E8EEC49">
            <w:pPr>
              <w:jc w:val="center"/>
              <w:rPr>
                <w:rFonts w:ascii="宋体" w:hAnsi="宋体" w:eastAsia="宋体" w:cs="Times New Roman"/>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07ECC9C7">
            <w:pPr>
              <w:jc w:val="center"/>
              <w:rPr>
                <w:rFonts w:ascii="宋体" w:hAnsi="宋体" w:eastAsia="宋体" w:cs="Times New Roman"/>
                <w:sz w:val="18"/>
                <w:szCs w:val="18"/>
              </w:rPr>
            </w:pPr>
          </w:p>
        </w:tc>
        <w:tc>
          <w:tcPr>
            <w:tcW w:w="1044" w:type="dxa"/>
            <w:tcBorders>
              <w:top w:val="single" w:color="auto" w:sz="4" w:space="0"/>
              <w:left w:val="single" w:color="auto" w:sz="4" w:space="0"/>
              <w:bottom w:val="single" w:color="auto" w:sz="4" w:space="0"/>
              <w:right w:val="single" w:color="auto" w:sz="4" w:space="0"/>
            </w:tcBorders>
            <w:vAlign w:val="center"/>
          </w:tcPr>
          <w:p w14:paraId="078134D9">
            <w:pPr>
              <w:jc w:val="center"/>
              <w:rPr>
                <w:rFonts w:ascii="宋体" w:hAnsi="宋体" w:eastAsia="宋体" w:cs="Times New Roman"/>
                <w:sz w:val="18"/>
                <w:szCs w:val="18"/>
              </w:rPr>
            </w:pPr>
          </w:p>
        </w:tc>
        <w:tc>
          <w:tcPr>
            <w:tcW w:w="854" w:type="dxa"/>
            <w:tcBorders>
              <w:top w:val="single" w:color="auto" w:sz="4" w:space="0"/>
              <w:left w:val="single" w:color="auto" w:sz="4" w:space="0"/>
              <w:bottom w:val="single" w:color="auto" w:sz="4" w:space="0"/>
              <w:right w:val="single" w:color="auto" w:sz="4" w:space="0"/>
            </w:tcBorders>
            <w:vAlign w:val="center"/>
          </w:tcPr>
          <w:p w14:paraId="6FCA8719">
            <w:pPr>
              <w:jc w:val="center"/>
              <w:rPr>
                <w:rFonts w:ascii="宋体" w:hAnsi="宋体" w:eastAsia="宋体" w:cs="Times New Roman"/>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14:paraId="118A1534">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6C551202">
            <w:pPr>
              <w:jc w:val="center"/>
              <w:rPr>
                <w:rFonts w:ascii="宋体" w:hAnsi="宋体" w:eastAsia="宋体" w:cs="Times New Roman"/>
                <w:sz w:val="18"/>
                <w:szCs w:val="18"/>
              </w:rPr>
            </w:pPr>
          </w:p>
        </w:tc>
        <w:tc>
          <w:tcPr>
            <w:tcW w:w="1038" w:type="dxa"/>
            <w:tcBorders>
              <w:top w:val="single" w:color="auto" w:sz="4" w:space="0"/>
              <w:left w:val="single" w:color="auto" w:sz="4" w:space="0"/>
              <w:bottom w:val="single" w:color="auto" w:sz="4" w:space="0"/>
              <w:right w:val="single" w:color="auto" w:sz="4" w:space="0"/>
            </w:tcBorders>
            <w:vAlign w:val="center"/>
          </w:tcPr>
          <w:p w14:paraId="7DC98553">
            <w:pPr>
              <w:jc w:val="center"/>
              <w:rPr>
                <w:rFonts w:ascii="宋体" w:hAnsi="宋体" w:eastAsia="宋体" w:cs="Times New Roman"/>
                <w:sz w:val="18"/>
                <w:szCs w:val="18"/>
              </w:rPr>
            </w:pPr>
          </w:p>
        </w:tc>
        <w:tc>
          <w:tcPr>
            <w:tcW w:w="694" w:type="dxa"/>
            <w:tcBorders>
              <w:top w:val="single" w:color="auto" w:sz="4" w:space="0"/>
              <w:left w:val="single" w:color="auto" w:sz="4" w:space="0"/>
              <w:bottom w:val="single" w:color="auto" w:sz="4" w:space="0"/>
              <w:right w:val="single" w:color="auto" w:sz="4" w:space="0"/>
            </w:tcBorders>
            <w:vAlign w:val="center"/>
          </w:tcPr>
          <w:p w14:paraId="58E39DBD">
            <w:pPr>
              <w:jc w:val="center"/>
              <w:rPr>
                <w:rFonts w:ascii="宋体" w:hAnsi="宋体" w:eastAsia="宋体" w:cs="Times New Roman"/>
                <w:sz w:val="18"/>
                <w:szCs w:val="18"/>
              </w:rPr>
            </w:pPr>
          </w:p>
        </w:tc>
      </w:tr>
      <w:tr w14:paraId="68E7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69" w:type="dxa"/>
            <w:gridSpan w:val="9"/>
            <w:tcBorders>
              <w:top w:val="single" w:color="auto" w:sz="4" w:space="0"/>
              <w:left w:val="single" w:color="auto" w:sz="4" w:space="0"/>
              <w:bottom w:val="single" w:color="auto" w:sz="4" w:space="0"/>
              <w:right w:val="single" w:color="auto" w:sz="4" w:space="0"/>
            </w:tcBorders>
            <w:vAlign w:val="center"/>
          </w:tcPr>
          <w:p w14:paraId="355D18D0">
            <w:pPr>
              <w:jc w:val="center"/>
              <w:rPr>
                <w:rFonts w:ascii="宋体" w:hAnsi="宋体" w:eastAsia="宋体" w:cs="Times New Roman"/>
                <w:sz w:val="24"/>
                <w:szCs w:val="24"/>
              </w:rPr>
            </w:pPr>
            <w:r>
              <w:rPr>
                <w:rFonts w:hint="eastAsia" w:ascii="宋体" w:hAnsi="宋体" w:eastAsia="宋体" w:cs="Times New Roman"/>
                <w:sz w:val="24"/>
                <w:szCs w:val="24"/>
              </w:rPr>
              <w:t>优惠投标总价（大写）人民币</w:t>
            </w:r>
            <w:r>
              <w:rPr>
                <w:rFonts w:ascii="宋体" w:hAnsi="宋体" w:eastAsia="宋体" w:cs="Times New Roman"/>
                <w:sz w:val="24"/>
                <w:szCs w:val="24"/>
                <w:u w:val="single"/>
              </w:rPr>
              <w:t xml:space="preserve"> </w:t>
            </w:r>
            <w:r>
              <w:rPr>
                <w:rFonts w:hint="eastAsia" w:ascii="宋体" w:hAnsi="宋体" w:eastAsia="宋体" w:cs="Times New Roman"/>
                <w:sz w:val="24"/>
                <w:szCs w:val="24"/>
              </w:rPr>
              <w:t>元，（小写）￥</w:t>
            </w:r>
            <w:r>
              <w:rPr>
                <w:rFonts w:ascii="宋体" w:hAnsi="宋体" w:eastAsia="宋体" w:cs="Times New Roman"/>
                <w:sz w:val="24"/>
                <w:szCs w:val="24"/>
                <w:u w:val="single"/>
              </w:rPr>
              <w:t xml:space="preserve"> </w:t>
            </w:r>
            <w:r>
              <w:rPr>
                <w:rFonts w:hint="eastAsia" w:ascii="宋体" w:hAnsi="宋体" w:eastAsia="宋体" w:cs="Times New Roman"/>
                <w:b/>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元。</w:t>
            </w:r>
          </w:p>
        </w:tc>
      </w:tr>
    </w:tbl>
    <w:p w14:paraId="5CEB5703">
      <w:pPr>
        <w:spacing w:line="264" w:lineRule="auto"/>
        <w:rPr>
          <w:rFonts w:ascii="宋体" w:hAnsi="宋体" w:eastAsia="宋体" w:cs="宋体"/>
          <w:b/>
          <w:bCs/>
          <w:sz w:val="24"/>
          <w:szCs w:val="24"/>
        </w:rPr>
      </w:pPr>
    </w:p>
    <w:p w14:paraId="3C668625">
      <w:pPr>
        <w:numPr>
          <w:ilvl w:val="0"/>
          <w:numId w:val="34"/>
        </w:numPr>
        <w:spacing w:after="60" w:line="264" w:lineRule="auto"/>
        <w:ind w:left="284" w:hanging="120"/>
        <w:rPr>
          <w:rFonts w:ascii="宋体" w:hAnsi="宋体" w:eastAsia="宋体" w:cs="Times New Roman"/>
          <w:sz w:val="24"/>
          <w:szCs w:val="24"/>
        </w:rPr>
      </w:pPr>
      <w:r>
        <w:rPr>
          <w:rFonts w:hint="eastAsia" w:ascii="宋体" w:hAnsi="宋体" w:eastAsia="宋体" w:cs="Times New Roman"/>
          <w:sz w:val="24"/>
          <w:szCs w:val="24"/>
        </w:rPr>
        <w:t>上述价格包括机组保养工作，但不包括提供以下内容：</w:t>
      </w:r>
    </w:p>
    <w:p w14:paraId="732231B0">
      <w:pPr>
        <w:numPr>
          <w:ilvl w:val="0"/>
          <w:numId w:val="34"/>
        </w:numPr>
        <w:tabs>
          <w:tab w:val="left" w:pos="360"/>
          <w:tab w:val="left" w:pos="600"/>
        </w:tabs>
        <w:spacing w:after="60" w:line="264" w:lineRule="auto"/>
        <w:rPr>
          <w:rFonts w:ascii="宋体" w:hAnsi="宋体" w:eastAsia="宋体" w:cs="Times New Roman"/>
          <w:sz w:val="24"/>
          <w:szCs w:val="24"/>
        </w:rPr>
      </w:pPr>
      <w:r>
        <w:rPr>
          <w:rFonts w:hint="eastAsia" w:ascii="宋体" w:hAnsi="宋体" w:eastAsia="宋体" w:cs="Times New Roman"/>
          <w:sz w:val="24"/>
          <w:szCs w:val="24"/>
        </w:rPr>
        <w:t>本合同价款包括维修和保养所需技术服务</w:t>
      </w:r>
      <w:r>
        <w:rPr>
          <w:rFonts w:hint="eastAsia" w:ascii="微软雅黑" w:hAnsi="微软雅黑" w:eastAsia="微软雅黑" w:cs="Times New Roman"/>
          <w:sz w:val="24"/>
          <w:szCs w:val="24"/>
        </w:rPr>
        <w:t>（维护保养、翅片清洗、通炮等）</w:t>
      </w:r>
      <w:r>
        <w:rPr>
          <w:rFonts w:hint="eastAsia" w:ascii="宋体" w:hAnsi="宋体" w:eastAsia="宋体" w:cs="Times New Roman"/>
          <w:sz w:val="24"/>
          <w:szCs w:val="24"/>
        </w:rPr>
        <w:t>的人工费用、配件（单价≤</w:t>
      </w:r>
      <w:r>
        <w:rPr>
          <w:rFonts w:ascii="宋体" w:hAnsi="宋体" w:eastAsia="宋体" w:cs="Times New Roman"/>
          <w:sz w:val="24"/>
          <w:szCs w:val="24"/>
        </w:rPr>
        <w:t>500元）采购费用、配件（全部配件，包括500元以上配件）的更换安装和调试费用等。单价大于500元的配件由采购人提供，中标人负责免费更换与安装调试（采购人不再另外支付费用），采购人提供配件后，由中标人进行验收，验收无误后进行安装，中标人承担相应质保责任，如为产品质量问题，由中标人与厂家进行售后沟通。</w:t>
      </w:r>
    </w:p>
    <w:p w14:paraId="36DCA088">
      <w:pPr>
        <w:numPr>
          <w:ilvl w:val="0"/>
          <w:numId w:val="35"/>
        </w:numPr>
        <w:tabs>
          <w:tab w:val="left" w:pos="600"/>
          <w:tab w:val="clear" w:pos="360"/>
        </w:tabs>
        <w:spacing w:after="60" w:line="264" w:lineRule="auto"/>
        <w:ind w:left="595" w:hanging="235"/>
        <w:rPr>
          <w:rFonts w:ascii="宋体" w:hAnsi="宋体" w:eastAsia="宋体" w:cs="Times New Roman"/>
          <w:sz w:val="24"/>
          <w:szCs w:val="24"/>
        </w:rPr>
      </w:pPr>
      <w:r>
        <w:rPr>
          <w:rFonts w:hint="eastAsia" w:ascii="宋体" w:hAnsi="宋体" w:eastAsia="宋体" w:cs="Times New Roman"/>
          <w:sz w:val="24"/>
          <w:szCs w:val="24"/>
        </w:rPr>
        <w:t>除附页所述工作之外的任何维修工作。</w:t>
      </w:r>
    </w:p>
    <w:p w14:paraId="18956752">
      <w:pPr>
        <w:numPr>
          <w:ilvl w:val="0"/>
          <w:numId w:val="35"/>
        </w:numPr>
        <w:tabs>
          <w:tab w:val="left" w:pos="600"/>
          <w:tab w:val="clear" w:pos="360"/>
        </w:tabs>
        <w:spacing w:after="60" w:line="264" w:lineRule="auto"/>
        <w:ind w:left="595" w:hanging="235"/>
        <w:rPr>
          <w:rFonts w:ascii="宋体" w:hAnsi="宋体" w:eastAsia="宋体" w:cs="Times New Roman"/>
          <w:sz w:val="24"/>
          <w:szCs w:val="24"/>
        </w:rPr>
      </w:pPr>
      <w:r>
        <w:rPr>
          <w:rFonts w:hint="eastAsia" w:ascii="宋体" w:hAnsi="宋体" w:eastAsia="宋体" w:cs="Times New Roman"/>
          <w:sz w:val="24"/>
          <w:szCs w:val="24"/>
        </w:rPr>
        <w:t>机组以外的设备修理工作。</w:t>
      </w:r>
    </w:p>
    <w:p w14:paraId="008C6AAB">
      <w:pPr>
        <w:numPr>
          <w:ilvl w:val="0"/>
          <w:numId w:val="35"/>
        </w:numPr>
        <w:tabs>
          <w:tab w:val="left" w:pos="600"/>
          <w:tab w:val="clear" w:pos="360"/>
        </w:tabs>
        <w:spacing w:after="60" w:line="264" w:lineRule="auto"/>
        <w:ind w:left="595" w:hanging="235"/>
        <w:rPr>
          <w:rFonts w:ascii="宋体" w:hAnsi="宋体" w:eastAsia="宋体" w:cs="Times New Roman"/>
          <w:sz w:val="24"/>
          <w:szCs w:val="24"/>
        </w:rPr>
      </w:pPr>
      <w:r>
        <w:rPr>
          <w:rFonts w:hint="eastAsia" w:ascii="宋体" w:hAnsi="宋体" w:eastAsia="宋体" w:cs="Times New Roman"/>
          <w:sz w:val="24"/>
          <w:szCs w:val="24"/>
        </w:rPr>
        <w:t xml:space="preserve"> 涉及到抽冷媒、拆卸压缩机、清洗油泵等中修和大修等人工费用</w:t>
      </w:r>
    </w:p>
    <w:p w14:paraId="4DCAD9AD">
      <w:pPr>
        <w:numPr>
          <w:ilvl w:val="0"/>
          <w:numId w:val="35"/>
        </w:numPr>
        <w:tabs>
          <w:tab w:val="left" w:pos="600"/>
          <w:tab w:val="clear" w:pos="360"/>
        </w:tabs>
        <w:spacing w:after="60" w:line="264" w:lineRule="auto"/>
        <w:ind w:left="595" w:hanging="235"/>
        <w:rPr>
          <w:rFonts w:hint="default" w:ascii="宋体" w:hAnsi="宋体" w:eastAsia="宋体" w:cs="Times New Roman"/>
          <w:sz w:val="24"/>
          <w:szCs w:val="24"/>
          <w:lang w:val="en-US" w:eastAsia="zh-CN"/>
        </w:rPr>
      </w:pPr>
      <w:r>
        <w:rPr>
          <w:rFonts w:hint="eastAsia" w:ascii="宋体" w:hAnsi="宋体" w:eastAsia="宋体" w:cs="Times New Roman"/>
          <w:sz w:val="24"/>
          <w:szCs w:val="24"/>
        </w:rPr>
        <w:t>由于外部因素引起的故障或损坏的修理工作（如水管破裂、地震或其它人力不可抗拒的事故）。</w:t>
      </w:r>
    </w:p>
    <w:p w14:paraId="3250E130">
      <w:pPr>
        <w:numPr>
          <w:ilvl w:val="0"/>
          <w:numId w:val="35"/>
        </w:numPr>
        <w:tabs>
          <w:tab w:val="left" w:pos="600"/>
          <w:tab w:val="clear" w:pos="360"/>
        </w:tabs>
        <w:spacing w:after="60" w:line="264" w:lineRule="auto"/>
        <w:ind w:left="595" w:hanging="235"/>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1号楼负二层制冷主机房3台特灵主机在维保期限内进行更换，后期新的机组属质保，此项费用按维保月份进行结算付款。</w:t>
      </w:r>
    </w:p>
    <w:p w14:paraId="507FAF85">
      <w:pPr>
        <w:spacing w:line="264" w:lineRule="auto"/>
        <w:rPr>
          <w:rFonts w:ascii="宋体" w:hAnsi="宋体" w:eastAsia="宋体" w:cs="宋体"/>
          <w:sz w:val="24"/>
          <w:szCs w:val="24"/>
          <w:u w:val="single"/>
        </w:rPr>
      </w:pPr>
      <w:r>
        <w:rPr>
          <w:rFonts w:ascii="宋体" w:hAnsi="宋体" w:eastAsia="宋体" w:cs="宋体"/>
          <w:b/>
          <w:bCs/>
          <w:sz w:val="24"/>
          <w:szCs w:val="24"/>
        </w:rPr>
        <w:t>6</w:t>
      </w:r>
      <w:r>
        <w:rPr>
          <w:rFonts w:hint="eastAsia" w:ascii="宋体" w:hAnsi="宋体" w:eastAsia="宋体" w:cs="宋体"/>
          <w:b/>
          <w:bCs/>
          <w:sz w:val="24"/>
          <w:szCs w:val="24"/>
        </w:rPr>
        <w:t>、付款方式：</w:t>
      </w:r>
    </w:p>
    <w:p w14:paraId="732E6B66">
      <w:pPr>
        <w:numPr>
          <w:ilvl w:val="0"/>
          <w:numId w:val="35"/>
        </w:numPr>
        <w:tabs>
          <w:tab w:val="left" w:pos="600"/>
          <w:tab w:val="clear" w:pos="360"/>
        </w:tabs>
        <w:spacing w:after="60" w:line="264" w:lineRule="auto"/>
        <w:ind w:left="595" w:hanging="235"/>
        <w:rPr>
          <w:rFonts w:ascii="宋体" w:hAnsi="宋体" w:eastAsia="宋体" w:cs="Times New Roman"/>
          <w:sz w:val="24"/>
          <w:szCs w:val="28"/>
        </w:rPr>
      </w:pPr>
      <w:r>
        <w:rPr>
          <w:rFonts w:hint="eastAsia" w:ascii="宋体" w:hAnsi="宋体" w:eastAsia="宋体" w:cs="Times New Roman"/>
          <w:sz w:val="24"/>
          <w:szCs w:val="28"/>
        </w:rPr>
        <w:t>甲方将保养合同金额平均分2期</w:t>
      </w:r>
      <w:r>
        <w:rPr>
          <w:rFonts w:ascii="宋体" w:hAnsi="宋体" w:eastAsia="宋体" w:cs="Times New Roman"/>
          <w:sz w:val="24"/>
          <w:szCs w:val="28"/>
        </w:rPr>
        <w:t>(</w:t>
      </w:r>
      <w:r>
        <w:rPr>
          <w:rFonts w:hint="eastAsia" w:ascii="宋体" w:hAnsi="宋体" w:eastAsia="宋体" w:cs="Times New Roman"/>
          <w:sz w:val="24"/>
          <w:szCs w:val="28"/>
        </w:rPr>
        <w:t>每期为</w:t>
      </w:r>
      <w:r>
        <w:rPr>
          <w:rFonts w:ascii="宋体" w:hAnsi="宋体" w:eastAsia="宋体" w:cs="Times New Roman"/>
          <w:sz w:val="24"/>
          <w:szCs w:val="28"/>
        </w:rPr>
        <w:t>6</w:t>
      </w:r>
      <w:r>
        <w:rPr>
          <w:rFonts w:hint="eastAsia" w:ascii="宋体" w:hAnsi="宋体" w:eastAsia="宋体" w:cs="Times New Roman"/>
          <w:sz w:val="24"/>
          <w:szCs w:val="28"/>
        </w:rPr>
        <w:t>个月</w:t>
      </w:r>
      <w:r>
        <w:rPr>
          <w:rFonts w:ascii="宋体" w:hAnsi="宋体" w:eastAsia="宋体" w:cs="Times New Roman"/>
          <w:sz w:val="24"/>
          <w:szCs w:val="28"/>
        </w:rPr>
        <w:t>)</w:t>
      </w:r>
      <w:r>
        <w:rPr>
          <w:rFonts w:ascii="宋体" w:hAnsi="宋体" w:eastAsia="宋体" w:cs="Times New Roman"/>
          <w:sz w:val="20"/>
          <w:szCs w:val="24"/>
        </w:rPr>
        <w:t xml:space="preserve"> </w:t>
      </w:r>
      <w:r>
        <w:rPr>
          <w:rFonts w:hint="eastAsia" w:ascii="宋体" w:hAnsi="宋体" w:eastAsia="宋体" w:cs="Times New Roman"/>
          <w:sz w:val="24"/>
          <w:szCs w:val="28"/>
        </w:rPr>
        <w:t>支付，每期支付每年度的保养金额的1/</w:t>
      </w:r>
      <w:r>
        <w:rPr>
          <w:rFonts w:ascii="宋体" w:hAnsi="宋体" w:eastAsia="宋体" w:cs="Times New Roman"/>
          <w:sz w:val="24"/>
          <w:szCs w:val="28"/>
        </w:rPr>
        <w:t>2</w:t>
      </w:r>
      <w:r>
        <w:rPr>
          <w:rFonts w:hint="eastAsia" w:ascii="宋体" w:hAnsi="宋体" w:eastAsia="宋体" w:cs="Times New Roman"/>
          <w:sz w:val="24"/>
          <w:szCs w:val="28"/>
        </w:rPr>
        <w:t>即￥</w:t>
      </w:r>
      <w:r>
        <w:rPr>
          <w:rFonts w:ascii="宋体" w:hAnsi="宋体" w:eastAsia="宋体" w:cs="Times New Roman"/>
          <w:sz w:val="24"/>
          <w:szCs w:val="28"/>
          <w:u w:val="single"/>
        </w:rPr>
        <w:t xml:space="preserve">        </w:t>
      </w:r>
      <w:r>
        <w:rPr>
          <w:rFonts w:hint="eastAsia" w:ascii="宋体" w:hAnsi="宋体" w:eastAsia="宋体" w:cs="Times New Roman"/>
          <w:sz w:val="24"/>
          <w:szCs w:val="28"/>
        </w:rPr>
        <w:t>给乙方，</w:t>
      </w:r>
      <w:r>
        <w:rPr>
          <w:rFonts w:hint="eastAsia" w:ascii="宋体" w:hAnsi="宋体" w:eastAsia="宋体" w:cs="Times New Roman"/>
          <w:sz w:val="24"/>
          <w:szCs w:val="24"/>
          <w:lang w:val="en-US" w:eastAsia="zh-CN"/>
        </w:rPr>
        <w:t>1号楼负二层制冷主机房3台特灵主机在维保期限内进行更换，此项费用按维保月份进行扣除结算付款。</w:t>
      </w:r>
      <w:r>
        <w:rPr>
          <w:rFonts w:hint="eastAsia" w:ascii="宋体" w:hAnsi="宋体" w:eastAsia="宋体" w:cs="Times New Roman"/>
          <w:sz w:val="24"/>
          <w:szCs w:val="28"/>
        </w:rPr>
        <w:t>甲方支付款项的前提是</w:t>
      </w:r>
      <w:r>
        <w:rPr>
          <w:rFonts w:ascii="宋体" w:hAnsi="宋体" w:eastAsia="宋体" w:cs="Times New Roman"/>
          <w:sz w:val="24"/>
          <w:szCs w:val="28"/>
        </w:rPr>
        <w:t>:</w:t>
      </w:r>
      <w:r>
        <w:rPr>
          <w:rFonts w:ascii="宋体" w:hAnsi="宋体" w:eastAsia="宋体" w:cs="Times New Roman"/>
          <w:sz w:val="20"/>
          <w:szCs w:val="24"/>
        </w:rPr>
        <w:t xml:space="preserve"> </w:t>
      </w:r>
      <w:r>
        <w:rPr>
          <w:rFonts w:hint="eastAsia" w:ascii="宋体" w:hAnsi="宋体" w:eastAsia="宋体" w:cs="Times New Roman"/>
          <w:sz w:val="24"/>
          <w:szCs w:val="28"/>
        </w:rPr>
        <w:t>达到支付期后的</w:t>
      </w:r>
      <w:r>
        <w:rPr>
          <w:rFonts w:ascii="宋体" w:hAnsi="宋体" w:eastAsia="宋体" w:cs="Times New Roman"/>
          <w:sz w:val="24"/>
          <w:szCs w:val="28"/>
        </w:rPr>
        <w:t>5</w:t>
      </w:r>
      <w:r>
        <w:rPr>
          <w:rFonts w:hint="eastAsia" w:ascii="宋体" w:hAnsi="宋体" w:eastAsia="宋体" w:cs="Times New Roman"/>
          <w:sz w:val="24"/>
          <w:szCs w:val="28"/>
        </w:rPr>
        <w:t>天内</w:t>
      </w:r>
      <w:r>
        <w:rPr>
          <w:rFonts w:ascii="宋体" w:hAnsi="宋体" w:eastAsia="宋体" w:cs="Times New Roman"/>
          <w:sz w:val="24"/>
          <w:szCs w:val="28"/>
        </w:rPr>
        <w:t>,</w:t>
      </w:r>
      <w:r>
        <w:rPr>
          <w:rFonts w:ascii="宋体" w:hAnsi="宋体" w:eastAsia="宋体" w:cs="Times New Roman"/>
          <w:sz w:val="20"/>
          <w:szCs w:val="24"/>
        </w:rPr>
        <w:t xml:space="preserve"> </w:t>
      </w:r>
      <w:r>
        <w:rPr>
          <w:rFonts w:hint="eastAsia" w:ascii="宋体" w:hAnsi="宋体" w:eastAsia="宋体" w:cs="Times New Roman"/>
          <w:sz w:val="24"/>
          <w:szCs w:val="28"/>
        </w:rPr>
        <w:t>乙方向甲方主管部门递交上</w:t>
      </w:r>
      <w:r>
        <w:rPr>
          <w:rFonts w:ascii="宋体" w:hAnsi="宋体" w:eastAsia="宋体" w:cs="Times New Roman"/>
          <w:sz w:val="24"/>
          <w:szCs w:val="28"/>
        </w:rPr>
        <w:t>6</w:t>
      </w:r>
      <w:r>
        <w:rPr>
          <w:rFonts w:hint="eastAsia" w:ascii="宋体" w:hAnsi="宋体" w:eastAsia="宋体" w:cs="Times New Roman"/>
          <w:sz w:val="24"/>
          <w:szCs w:val="28"/>
        </w:rPr>
        <w:t>个月的工作总结和付款申请及发票</w:t>
      </w:r>
      <w:r>
        <w:rPr>
          <w:rFonts w:ascii="宋体" w:hAnsi="宋体" w:eastAsia="宋体" w:cs="Times New Roman"/>
          <w:sz w:val="24"/>
          <w:szCs w:val="28"/>
        </w:rPr>
        <w:t>,</w:t>
      </w:r>
      <w:r>
        <w:rPr>
          <w:rFonts w:ascii="宋体" w:hAnsi="宋体" w:eastAsia="宋体" w:cs="Times New Roman"/>
          <w:sz w:val="20"/>
          <w:szCs w:val="24"/>
        </w:rPr>
        <w:t xml:space="preserve"> </w:t>
      </w:r>
      <w:r>
        <w:rPr>
          <w:rFonts w:hint="eastAsia" w:ascii="宋体" w:hAnsi="宋体" w:eastAsia="宋体" w:cs="Times New Roman"/>
          <w:sz w:val="24"/>
          <w:szCs w:val="28"/>
        </w:rPr>
        <w:t>甲方收到资料确认后</w:t>
      </w:r>
      <w:r>
        <w:rPr>
          <w:rFonts w:ascii="宋体" w:hAnsi="宋体" w:eastAsia="宋体" w:cs="Times New Roman"/>
          <w:sz w:val="24"/>
          <w:szCs w:val="28"/>
        </w:rPr>
        <w:t>25</w:t>
      </w:r>
      <w:r>
        <w:rPr>
          <w:rFonts w:hint="eastAsia" w:ascii="宋体" w:hAnsi="宋体" w:eastAsia="宋体" w:cs="Times New Roman"/>
          <w:sz w:val="24"/>
          <w:szCs w:val="28"/>
        </w:rPr>
        <w:t>个工作日内付款。如乙方延迟递交工作总结，则甲方付款时间相应顺延。</w:t>
      </w:r>
    </w:p>
    <w:p w14:paraId="7845E592">
      <w:pPr>
        <w:numPr>
          <w:ilvl w:val="0"/>
          <w:numId w:val="36"/>
        </w:numPr>
        <w:spacing w:line="264" w:lineRule="auto"/>
        <w:jc w:val="left"/>
        <w:rPr>
          <w:rFonts w:ascii="宋体" w:hAnsi="宋体" w:eastAsia="宋体" w:cs="Times New Roman"/>
          <w:sz w:val="28"/>
          <w:szCs w:val="28"/>
        </w:rPr>
      </w:pPr>
      <w:r>
        <w:rPr>
          <w:rFonts w:ascii="宋体" w:hAnsi="宋体" w:eastAsia="宋体" w:cs="Times New Roman"/>
          <w:sz w:val="24"/>
          <w:szCs w:val="28"/>
        </w:rPr>
        <w:t>实际支付时，甲方将根据《</w:t>
      </w:r>
      <w:r>
        <w:rPr>
          <w:rFonts w:hint="eastAsia" w:ascii="宋体" w:hAnsi="宋体" w:eastAsia="宋体" w:cs="Times New Roman"/>
          <w:sz w:val="24"/>
          <w:szCs w:val="28"/>
        </w:rPr>
        <w:t>院区中央空调主机系统维保考核评分表</w:t>
      </w:r>
      <w:r>
        <w:rPr>
          <w:rFonts w:ascii="宋体" w:hAnsi="宋体" w:eastAsia="宋体" w:cs="Times New Roman"/>
          <w:sz w:val="24"/>
          <w:szCs w:val="28"/>
        </w:rPr>
        <w:t>》的得分情况及相应要求执行并计算应支付金额。</w:t>
      </w:r>
    </w:p>
    <w:p w14:paraId="7E226250">
      <w:pPr>
        <w:numPr>
          <w:ilvl w:val="0"/>
          <w:numId w:val="36"/>
        </w:numPr>
        <w:spacing w:line="264" w:lineRule="auto"/>
        <w:rPr>
          <w:rFonts w:ascii="宋体" w:hAnsi="宋体" w:eastAsia="宋体" w:cs="Times New Roman"/>
          <w:sz w:val="24"/>
          <w:szCs w:val="28"/>
        </w:rPr>
      </w:pPr>
      <w:r>
        <w:rPr>
          <w:rFonts w:hint="eastAsia" w:ascii="宋体" w:hAnsi="宋体" w:eastAsia="宋体" w:cs="Times New Roman"/>
          <w:sz w:val="24"/>
          <w:szCs w:val="28"/>
        </w:rPr>
        <w:t>乙方收款户名</w:t>
      </w:r>
      <w:r>
        <w:rPr>
          <w:rFonts w:ascii="宋体" w:hAnsi="宋体" w:eastAsia="宋体" w:cs="Times New Roman"/>
          <w:sz w:val="24"/>
          <w:szCs w:val="28"/>
        </w:rPr>
        <w:t>:</w:t>
      </w:r>
      <w:r>
        <w:rPr>
          <w:rFonts w:ascii="宋体" w:hAnsi="宋体" w:eastAsia="宋体" w:cs="Times New Roman"/>
          <w:sz w:val="20"/>
          <w:szCs w:val="24"/>
        </w:rPr>
        <w:t xml:space="preserve"> </w:t>
      </w:r>
    </w:p>
    <w:p w14:paraId="5D7F45DE">
      <w:pPr>
        <w:spacing w:line="264"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统一社会信用代码：</w:t>
      </w:r>
    </w:p>
    <w:p w14:paraId="0D88F225">
      <w:pPr>
        <w:spacing w:line="264"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地址：</w:t>
      </w:r>
      <w:r>
        <w:rPr>
          <w:rFonts w:ascii="宋体" w:hAnsi="宋体" w:eastAsia="宋体" w:cs="Times New Roman"/>
          <w:sz w:val="24"/>
          <w:szCs w:val="28"/>
        </w:rPr>
        <w:t xml:space="preserve"> </w:t>
      </w:r>
    </w:p>
    <w:p w14:paraId="22D382B6">
      <w:pPr>
        <w:numPr>
          <w:ilvl w:val="0"/>
          <w:numId w:val="36"/>
        </w:numPr>
        <w:spacing w:line="264" w:lineRule="auto"/>
        <w:rPr>
          <w:rFonts w:ascii="宋体" w:hAnsi="宋体" w:eastAsia="宋体" w:cs="Times New Roman"/>
          <w:sz w:val="24"/>
          <w:szCs w:val="28"/>
        </w:rPr>
      </w:pPr>
      <w:r>
        <w:rPr>
          <w:rFonts w:hint="eastAsia" w:ascii="宋体" w:hAnsi="宋体" w:eastAsia="宋体" w:cs="Times New Roman"/>
          <w:sz w:val="24"/>
          <w:szCs w:val="28"/>
        </w:rPr>
        <w:t>开户银行</w:t>
      </w:r>
      <w:r>
        <w:rPr>
          <w:rFonts w:ascii="宋体" w:hAnsi="宋体" w:eastAsia="宋体" w:cs="Times New Roman"/>
          <w:sz w:val="24"/>
          <w:szCs w:val="28"/>
        </w:rPr>
        <w:t xml:space="preserve">:              </w:t>
      </w:r>
    </w:p>
    <w:p w14:paraId="72452301">
      <w:pPr>
        <w:numPr>
          <w:ilvl w:val="0"/>
          <w:numId w:val="36"/>
        </w:numPr>
        <w:spacing w:line="264" w:lineRule="auto"/>
        <w:rPr>
          <w:rFonts w:ascii="宋体" w:hAnsi="宋体" w:eastAsia="宋体" w:cs="Times New Roman"/>
          <w:sz w:val="24"/>
          <w:szCs w:val="28"/>
        </w:rPr>
      </w:pPr>
      <w:r>
        <w:rPr>
          <w:rFonts w:hint="eastAsia" w:ascii="宋体" w:hAnsi="宋体" w:eastAsia="宋体" w:cs="Times New Roman"/>
          <w:sz w:val="24"/>
          <w:szCs w:val="28"/>
        </w:rPr>
        <w:t>银行帐号</w:t>
      </w:r>
      <w:r>
        <w:rPr>
          <w:rFonts w:ascii="宋体" w:hAnsi="宋体" w:eastAsia="宋体" w:cs="Times New Roman"/>
          <w:sz w:val="24"/>
          <w:szCs w:val="28"/>
        </w:rPr>
        <w:t xml:space="preserve">:                     </w:t>
      </w:r>
    </w:p>
    <w:p w14:paraId="2D37AAAD">
      <w:pPr>
        <w:numPr>
          <w:ilvl w:val="0"/>
          <w:numId w:val="36"/>
        </w:numPr>
        <w:spacing w:after="60" w:line="264" w:lineRule="auto"/>
        <w:rPr>
          <w:rFonts w:ascii="宋体" w:hAnsi="宋体" w:eastAsia="宋体" w:cs="Times New Roman"/>
          <w:sz w:val="24"/>
          <w:szCs w:val="24"/>
        </w:rPr>
      </w:pPr>
      <w:r>
        <w:rPr>
          <w:rFonts w:hint="eastAsia" w:ascii="宋体" w:hAnsi="宋体" w:eastAsia="宋体" w:cs="Times New Roman"/>
          <w:sz w:val="24"/>
          <w:szCs w:val="24"/>
        </w:rPr>
        <w:t>乙方必须在每次领取款项之前向甲方提交付款申请报告，甲方收到乙方付款申请报告之日起</w:t>
      </w:r>
      <w:r>
        <w:rPr>
          <w:rFonts w:ascii="宋体" w:hAnsi="宋体" w:eastAsia="宋体" w:cs="Times New Roman"/>
          <w:sz w:val="24"/>
          <w:szCs w:val="24"/>
        </w:rPr>
        <w:t>10</w:t>
      </w:r>
      <w:r>
        <w:rPr>
          <w:rFonts w:hint="eastAsia" w:ascii="宋体" w:hAnsi="宋体" w:eastAsia="宋体" w:cs="Times New Roman"/>
          <w:sz w:val="24"/>
          <w:szCs w:val="24"/>
        </w:rPr>
        <w:t>个工作日内审核完毕，并按上述条款的约定向乙方付款。若甲方对乙方提交的付款申请报告存有异议，应在收到报告之日起</w:t>
      </w:r>
      <w:r>
        <w:rPr>
          <w:rFonts w:ascii="宋体" w:hAnsi="宋体" w:eastAsia="宋体" w:cs="Times New Roman"/>
          <w:sz w:val="24"/>
          <w:szCs w:val="24"/>
        </w:rPr>
        <w:t>10</w:t>
      </w:r>
      <w:r>
        <w:rPr>
          <w:rFonts w:hint="eastAsia" w:ascii="宋体" w:hAnsi="宋体" w:eastAsia="宋体" w:cs="Times New Roman"/>
          <w:sz w:val="24"/>
          <w:szCs w:val="24"/>
        </w:rPr>
        <w:t>个工作日内书面通知乙方，由双方协商确定后再行付款。</w:t>
      </w:r>
    </w:p>
    <w:p w14:paraId="3CD78BC3">
      <w:pPr>
        <w:numPr>
          <w:ilvl w:val="0"/>
          <w:numId w:val="36"/>
        </w:numPr>
        <w:spacing w:after="60" w:line="264" w:lineRule="auto"/>
        <w:rPr>
          <w:rFonts w:ascii="宋体" w:hAnsi="宋体" w:eastAsia="宋体" w:cs="Times New Roman"/>
          <w:sz w:val="24"/>
          <w:szCs w:val="24"/>
        </w:rPr>
      </w:pPr>
      <w:r>
        <w:rPr>
          <w:rFonts w:hint="eastAsia" w:ascii="宋体" w:hAnsi="宋体" w:eastAsia="宋体" w:cs="Times New Roman"/>
          <w:sz w:val="24"/>
          <w:szCs w:val="24"/>
        </w:rPr>
        <w:t>甲方向乙方付款前，乙方须向甲方提供相当于甲方付款金额的符合国家财税规定的合法有效的发票，否则甲方有权拒绝付款。</w:t>
      </w:r>
    </w:p>
    <w:p w14:paraId="51CEA413">
      <w:pPr>
        <w:numPr>
          <w:ilvl w:val="0"/>
          <w:numId w:val="36"/>
        </w:numPr>
        <w:spacing w:after="60" w:line="264" w:lineRule="auto"/>
        <w:rPr>
          <w:rFonts w:ascii="宋体" w:hAnsi="宋体" w:eastAsia="宋体" w:cs="Times New Roman"/>
          <w:sz w:val="24"/>
          <w:szCs w:val="24"/>
        </w:rPr>
      </w:pPr>
      <w:r>
        <w:rPr>
          <w:rFonts w:hint="eastAsia" w:ascii="宋体" w:hAnsi="宋体" w:eastAsia="宋体" w:cs="Times New Roman"/>
          <w:sz w:val="24"/>
          <w:szCs w:val="24"/>
        </w:rPr>
        <w:t>若乙方未能按上述条款的约定办妥请款手续或提供发票的，则甲方有权拒绝付款。</w:t>
      </w:r>
    </w:p>
    <w:p w14:paraId="2FB640EF">
      <w:pPr>
        <w:spacing w:line="264" w:lineRule="auto"/>
        <w:rPr>
          <w:rFonts w:ascii="宋体" w:hAnsi="宋体" w:eastAsia="宋体" w:cs="宋体"/>
          <w:sz w:val="24"/>
          <w:szCs w:val="24"/>
        </w:rPr>
      </w:pPr>
      <w:r>
        <w:rPr>
          <w:rFonts w:ascii="宋体" w:hAnsi="宋体" w:eastAsia="宋体" w:cs="宋体"/>
          <w:b/>
          <w:bCs/>
          <w:sz w:val="24"/>
          <w:szCs w:val="24"/>
        </w:rPr>
        <w:t>7</w:t>
      </w:r>
      <w:r>
        <w:rPr>
          <w:rFonts w:hint="eastAsia" w:ascii="宋体" w:hAnsi="宋体" w:eastAsia="宋体" w:cs="宋体"/>
          <w:b/>
          <w:bCs/>
          <w:sz w:val="24"/>
          <w:szCs w:val="24"/>
        </w:rPr>
        <w:t>、甲方责任与权利：</w:t>
      </w:r>
    </w:p>
    <w:p w14:paraId="65E03D3B">
      <w:pPr>
        <w:tabs>
          <w:tab w:val="left" w:pos="284"/>
        </w:tabs>
        <w:spacing w:line="264" w:lineRule="auto"/>
        <w:ind w:left="360" w:hanging="360" w:hangingChars="150"/>
        <w:rPr>
          <w:rFonts w:ascii="宋体" w:hAnsi="宋体" w:eastAsia="宋体" w:cs="Times New Roman"/>
          <w:sz w:val="24"/>
          <w:szCs w:val="24"/>
        </w:rPr>
      </w:pPr>
      <w:r>
        <w:rPr>
          <w:rFonts w:ascii="宋体" w:hAnsi="宋体" w:eastAsia="宋体" w:cs="Times New Roman"/>
          <w:sz w:val="24"/>
          <w:szCs w:val="24"/>
        </w:rPr>
        <w:t xml:space="preserve">a. </w:t>
      </w:r>
      <w:r>
        <w:rPr>
          <w:rFonts w:hint="eastAsia" w:ascii="宋体" w:hAnsi="宋体" w:eastAsia="宋体" w:cs="Times New Roman"/>
          <w:sz w:val="24"/>
          <w:szCs w:val="24"/>
        </w:rPr>
        <w:t>合同有效期开始前，由乙方确认甲方各空调设备应处良好及正常状况，甲方提供设备日常运行操作记录给乙方。如有损坏，须于修复后再执行保修合同；</w:t>
      </w:r>
    </w:p>
    <w:p w14:paraId="2CF4D783">
      <w:pPr>
        <w:spacing w:line="264" w:lineRule="auto"/>
        <w:ind w:left="360" w:hanging="360" w:hangingChars="150"/>
        <w:rPr>
          <w:rFonts w:ascii="宋体" w:hAnsi="宋体" w:eastAsia="宋体" w:cs="Times New Roman"/>
          <w:sz w:val="24"/>
          <w:szCs w:val="24"/>
        </w:rPr>
      </w:pPr>
      <w:r>
        <w:rPr>
          <w:rFonts w:ascii="宋体" w:hAnsi="宋体" w:eastAsia="宋体" w:cs="Times New Roman"/>
          <w:sz w:val="24"/>
          <w:szCs w:val="24"/>
        </w:rPr>
        <w:t>b..</w:t>
      </w:r>
      <w:r>
        <w:rPr>
          <w:rFonts w:hint="eastAsia" w:ascii="宋体" w:hAnsi="宋体" w:eastAsia="宋体" w:cs="Times New Roman"/>
          <w:sz w:val="24"/>
          <w:szCs w:val="24"/>
        </w:rPr>
        <w:t>甲方必须按合同规定按时支付保养及保修款项，如甲方有付款延误情形，甲方同意按国家银行贷款利率支付乙方利息，以弥补乙方之损失；</w:t>
      </w:r>
    </w:p>
    <w:p w14:paraId="7A0C3E9C">
      <w:pPr>
        <w:spacing w:line="264" w:lineRule="auto"/>
        <w:rPr>
          <w:rFonts w:ascii="宋体" w:hAnsi="宋体" w:eastAsia="宋体" w:cs="Times New Roman"/>
          <w:sz w:val="24"/>
          <w:szCs w:val="24"/>
        </w:rPr>
      </w:pPr>
      <w:r>
        <w:rPr>
          <w:rFonts w:ascii="宋体" w:hAnsi="宋体" w:eastAsia="宋体" w:cs="Times New Roman"/>
          <w:sz w:val="24"/>
          <w:szCs w:val="24"/>
        </w:rPr>
        <w:t xml:space="preserve">c. </w:t>
      </w:r>
      <w:r>
        <w:rPr>
          <w:rFonts w:hint="eastAsia" w:ascii="宋体" w:hAnsi="宋体" w:eastAsia="宋体" w:cs="Times New Roman"/>
          <w:sz w:val="24"/>
          <w:szCs w:val="24"/>
        </w:rPr>
        <w:t>如甲方有付款延误，如影响乙方提供的保养工作，由甲方负责；</w:t>
      </w:r>
    </w:p>
    <w:p w14:paraId="123103C6">
      <w:pPr>
        <w:numPr>
          <w:ilvl w:val="0"/>
          <w:numId w:val="33"/>
        </w:numPr>
        <w:spacing w:after="60" w:line="264" w:lineRule="auto"/>
        <w:rPr>
          <w:rFonts w:ascii="宋体" w:hAnsi="宋体" w:eastAsia="宋体" w:cs="宋体"/>
          <w:sz w:val="24"/>
          <w:szCs w:val="24"/>
        </w:rPr>
      </w:pPr>
      <w:r>
        <w:rPr>
          <w:rFonts w:hint="eastAsia" w:ascii="宋体" w:hAnsi="宋体" w:eastAsia="宋体" w:cs="宋体"/>
          <w:sz w:val="24"/>
          <w:szCs w:val="24"/>
        </w:rPr>
        <w:t>合同期内，未经双方许可，任何一方不得擅自修理及拆卸设备组件等；</w:t>
      </w:r>
    </w:p>
    <w:p w14:paraId="66F86B62">
      <w:pPr>
        <w:numPr>
          <w:ilvl w:val="0"/>
          <w:numId w:val="33"/>
        </w:numPr>
        <w:spacing w:after="60" w:line="264" w:lineRule="auto"/>
        <w:rPr>
          <w:rFonts w:ascii="宋体" w:hAnsi="宋体" w:eastAsia="宋体" w:cs="宋体"/>
          <w:sz w:val="24"/>
          <w:szCs w:val="24"/>
        </w:rPr>
      </w:pPr>
      <w:r>
        <w:rPr>
          <w:rFonts w:hint="eastAsia" w:ascii="宋体" w:hAnsi="宋体" w:eastAsia="宋体" w:cs="宋体"/>
          <w:sz w:val="24"/>
          <w:szCs w:val="24"/>
        </w:rPr>
        <w:t>若乙方未能按合同附件要求进行保养保修工作，甲方保留提前解除合同的权利；</w:t>
      </w:r>
    </w:p>
    <w:p w14:paraId="3BCDE7EB">
      <w:pPr>
        <w:spacing w:line="264" w:lineRule="auto"/>
        <w:rPr>
          <w:rFonts w:ascii="宋体" w:hAnsi="宋体" w:eastAsia="宋体" w:cs="宋体"/>
          <w:b/>
          <w:bCs/>
          <w:sz w:val="24"/>
          <w:szCs w:val="24"/>
        </w:rPr>
      </w:pPr>
      <w:r>
        <w:rPr>
          <w:rFonts w:ascii="宋体" w:hAnsi="宋体" w:eastAsia="宋体" w:cs="宋体"/>
          <w:b/>
          <w:bCs/>
          <w:sz w:val="24"/>
          <w:szCs w:val="24"/>
        </w:rPr>
        <w:t>8</w:t>
      </w:r>
      <w:r>
        <w:rPr>
          <w:rFonts w:hint="eastAsia" w:ascii="宋体" w:hAnsi="宋体" w:eastAsia="宋体" w:cs="宋体"/>
          <w:b/>
          <w:bCs/>
          <w:sz w:val="24"/>
          <w:szCs w:val="24"/>
        </w:rPr>
        <w:t>、乙方责任与权利</w:t>
      </w:r>
      <w:r>
        <w:rPr>
          <w:rFonts w:ascii="宋体" w:hAnsi="宋体" w:eastAsia="宋体" w:cs="宋体"/>
          <w:b/>
          <w:bCs/>
          <w:sz w:val="24"/>
          <w:szCs w:val="24"/>
        </w:rPr>
        <w:t>:</w:t>
      </w:r>
    </w:p>
    <w:p w14:paraId="260A6945">
      <w:pPr>
        <w:numPr>
          <w:ilvl w:val="1"/>
          <w:numId w:val="37"/>
        </w:numPr>
        <w:tabs>
          <w:tab w:val="left" w:pos="709"/>
        </w:tabs>
        <w:spacing w:after="60" w:line="264" w:lineRule="auto"/>
        <w:ind w:left="709"/>
        <w:rPr>
          <w:rFonts w:ascii="宋体" w:hAnsi="宋体" w:eastAsia="宋体" w:cs="宋体"/>
          <w:sz w:val="24"/>
          <w:szCs w:val="24"/>
        </w:rPr>
      </w:pPr>
      <w:r>
        <w:rPr>
          <w:rFonts w:hint="eastAsia" w:ascii="宋体" w:hAnsi="宋体" w:eastAsia="宋体" w:cs="宋体"/>
          <w:sz w:val="24"/>
          <w:szCs w:val="24"/>
        </w:rPr>
        <w:t>若甲方未按合同规定支付保养费用，乙方有权终止合同并停止提供服务，直至款项付清为止，并有向甲方追回余款及补偿利息损失之权利；</w:t>
      </w:r>
    </w:p>
    <w:p w14:paraId="5B130161">
      <w:pPr>
        <w:numPr>
          <w:ilvl w:val="1"/>
          <w:numId w:val="37"/>
        </w:numPr>
        <w:tabs>
          <w:tab w:val="left" w:pos="709"/>
        </w:tabs>
        <w:spacing w:after="60" w:line="264" w:lineRule="auto"/>
        <w:ind w:left="709"/>
        <w:rPr>
          <w:rFonts w:ascii="宋体" w:hAnsi="宋体" w:eastAsia="宋体" w:cs="宋体"/>
          <w:sz w:val="24"/>
          <w:szCs w:val="24"/>
        </w:rPr>
      </w:pPr>
      <w:r>
        <w:rPr>
          <w:rFonts w:hint="eastAsia" w:ascii="宋体" w:hAnsi="宋体" w:eastAsia="宋体" w:cs="宋体"/>
          <w:sz w:val="24"/>
          <w:szCs w:val="24"/>
        </w:rPr>
        <w:t>提供良好的技术人员和工具仪器，最佳的服务质量和态度，严格按照特灵机组的保养标准做好维护保养工作，并认真填写运行报告，使设备处于良好运行状态。如因乙方保养不当使机组不能正常运行而影响甲方正常使用造成的直接经济损失由乙方负责赔偿。</w:t>
      </w:r>
    </w:p>
    <w:p w14:paraId="4FB47C3A">
      <w:pPr>
        <w:numPr>
          <w:ilvl w:val="1"/>
          <w:numId w:val="37"/>
        </w:numPr>
        <w:tabs>
          <w:tab w:val="left" w:pos="709"/>
        </w:tabs>
        <w:spacing w:after="60" w:line="264" w:lineRule="auto"/>
        <w:ind w:left="709"/>
        <w:rPr>
          <w:rFonts w:ascii="宋体" w:hAnsi="宋体" w:eastAsia="宋体" w:cs="宋体"/>
          <w:sz w:val="24"/>
          <w:szCs w:val="24"/>
        </w:rPr>
      </w:pPr>
      <w:r>
        <w:rPr>
          <w:rFonts w:hint="eastAsia" w:ascii="宋体" w:hAnsi="宋体" w:eastAsia="宋体" w:cs="宋体"/>
          <w:sz w:val="24"/>
          <w:szCs w:val="24"/>
        </w:rPr>
        <w:t>乙方技术人员工作期间，需佩戴工作证，在空调设备出现故障时，应提出解决修理方案供甲方参考；</w:t>
      </w:r>
    </w:p>
    <w:p w14:paraId="6E56C96C">
      <w:pPr>
        <w:numPr>
          <w:ilvl w:val="1"/>
          <w:numId w:val="37"/>
        </w:numPr>
        <w:tabs>
          <w:tab w:val="left" w:pos="709"/>
        </w:tabs>
        <w:spacing w:after="60" w:line="264" w:lineRule="auto"/>
        <w:ind w:left="709"/>
        <w:rPr>
          <w:rFonts w:ascii="宋体" w:hAnsi="宋体" w:eastAsia="宋体" w:cs="宋体"/>
          <w:sz w:val="24"/>
          <w:szCs w:val="24"/>
        </w:rPr>
      </w:pPr>
      <w:r>
        <w:rPr>
          <w:rFonts w:hint="eastAsia" w:ascii="宋体" w:hAnsi="宋体" w:eastAsia="宋体" w:cs="宋体"/>
          <w:sz w:val="24"/>
          <w:szCs w:val="24"/>
        </w:rPr>
        <w:t>乙方对机组进行维护保养检查时，必须严格执行有关操作规程进行，严禁违章操作，保证人身和设备安全。由于乙方人员工作失误或违章操作所造成的设备损坏及人员伤亡等由乙方承担。</w:t>
      </w:r>
    </w:p>
    <w:p w14:paraId="56788540">
      <w:pPr>
        <w:numPr>
          <w:ilvl w:val="1"/>
          <w:numId w:val="37"/>
        </w:numPr>
        <w:tabs>
          <w:tab w:val="left" w:pos="709"/>
        </w:tabs>
        <w:spacing w:after="60" w:line="264" w:lineRule="auto"/>
        <w:ind w:left="709"/>
        <w:rPr>
          <w:rFonts w:ascii="宋体" w:hAnsi="宋体" w:eastAsia="宋体" w:cs="宋体"/>
          <w:sz w:val="24"/>
          <w:szCs w:val="24"/>
        </w:rPr>
      </w:pPr>
      <w:r>
        <w:rPr>
          <w:rFonts w:hint="eastAsia" w:ascii="宋体" w:hAnsi="宋体" w:eastAsia="宋体" w:cs="宋体"/>
          <w:sz w:val="24"/>
          <w:szCs w:val="24"/>
        </w:rPr>
        <w:t>定期保养时间应提前一周通知甲方，以便甲方提前安排，不致影响正常的生产；</w:t>
      </w:r>
    </w:p>
    <w:p w14:paraId="5411F010">
      <w:pPr>
        <w:numPr>
          <w:ilvl w:val="1"/>
          <w:numId w:val="37"/>
        </w:numPr>
        <w:tabs>
          <w:tab w:val="left" w:pos="709"/>
        </w:tabs>
        <w:spacing w:after="60" w:line="264" w:lineRule="auto"/>
        <w:ind w:left="709"/>
        <w:rPr>
          <w:rFonts w:ascii="宋体" w:hAnsi="宋体" w:eastAsia="宋体" w:cs="宋体"/>
          <w:sz w:val="24"/>
          <w:szCs w:val="24"/>
        </w:rPr>
      </w:pPr>
      <w:r>
        <w:rPr>
          <w:rFonts w:hint="eastAsia" w:ascii="宋体" w:hAnsi="宋体" w:eastAsia="宋体" w:cs="宋体"/>
          <w:sz w:val="24"/>
          <w:szCs w:val="24"/>
        </w:rPr>
        <w:t>合同期内，乙方应保证甲方设备的正常运行，如无正当理由</w:t>
      </w:r>
      <w:r>
        <w:rPr>
          <w:rFonts w:ascii="宋体" w:hAnsi="宋体" w:eastAsia="宋体" w:cs="宋体"/>
          <w:sz w:val="24"/>
          <w:szCs w:val="24"/>
        </w:rPr>
        <w:t>,</w:t>
      </w:r>
      <w:r>
        <w:rPr>
          <w:rFonts w:hint="eastAsia" w:ascii="宋体" w:hAnsi="宋体" w:eastAsia="宋体" w:cs="宋体"/>
          <w:sz w:val="24"/>
          <w:szCs w:val="24"/>
        </w:rPr>
        <w:t>不得进行推托；</w:t>
      </w:r>
    </w:p>
    <w:p w14:paraId="2418987B">
      <w:pPr>
        <w:spacing w:line="264" w:lineRule="auto"/>
        <w:rPr>
          <w:rFonts w:ascii="宋体" w:hAnsi="宋体" w:eastAsia="宋体" w:cs="宋体"/>
          <w:b/>
          <w:bCs/>
          <w:sz w:val="24"/>
          <w:szCs w:val="24"/>
        </w:rPr>
      </w:pPr>
      <w:r>
        <w:rPr>
          <w:rFonts w:ascii="宋体" w:hAnsi="宋体" w:eastAsia="宋体" w:cs="宋体"/>
          <w:b/>
          <w:bCs/>
          <w:sz w:val="24"/>
          <w:szCs w:val="24"/>
        </w:rPr>
        <w:t>9</w:t>
      </w:r>
      <w:r>
        <w:rPr>
          <w:rFonts w:hint="eastAsia" w:ascii="宋体" w:hAnsi="宋体" w:eastAsia="宋体" w:cs="宋体"/>
          <w:b/>
          <w:bCs/>
          <w:sz w:val="24"/>
          <w:szCs w:val="24"/>
        </w:rPr>
        <w:t>、培训</w:t>
      </w:r>
    </w:p>
    <w:p w14:paraId="0D2B068A">
      <w:pPr>
        <w:spacing w:line="264" w:lineRule="auto"/>
        <w:ind w:firstLine="480" w:firstLineChars="200"/>
        <w:rPr>
          <w:rFonts w:ascii="宋体" w:hAnsi="宋体" w:eastAsia="宋体" w:cs="宋体"/>
          <w:sz w:val="24"/>
          <w:szCs w:val="24"/>
        </w:rPr>
      </w:pPr>
      <w:r>
        <w:rPr>
          <w:rFonts w:hint="eastAsia" w:ascii="宋体" w:hAnsi="宋体" w:eastAsia="宋体" w:cs="宋体"/>
          <w:sz w:val="24"/>
          <w:szCs w:val="24"/>
        </w:rPr>
        <w:t>为使双方共同维护好机组设备，乙方在保养工作开始时，将对客户的操作人员进行现场技术培训（半天）。</w:t>
      </w:r>
    </w:p>
    <w:p w14:paraId="7205C8BA">
      <w:pPr>
        <w:spacing w:line="264" w:lineRule="auto"/>
        <w:rPr>
          <w:rFonts w:ascii="宋体" w:hAnsi="宋体" w:eastAsia="宋体" w:cs="宋体"/>
          <w:b/>
          <w:bCs/>
          <w:sz w:val="24"/>
          <w:szCs w:val="24"/>
        </w:rPr>
      </w:pPr>
      <w:r>
        <w:rPr>
          <w:rFonts w:ascii="宋体" w:hAnsi="宋体" w:eastAsia="宋体" w:cs="宋体"/>
          <w:b/>
          <w:bCs/>
          <w:sz w:val="24"/>
          <w:szCs w:val="24"/>
        </w:rPr>
        <w:t>10</w:t>
      </w:r>
      <w:r>
        <w:rPr>
          <w:rFonts w:hint="eastAsia" w:ascii="宋体" w:hAnsi="宋体" w:eastAsia="宋体" w:cs="宋体"/>
          <w:b/>
          <w:bCs/>
          <w:sz w:val="24"/>
          <w:szCs w:val="24"/>
        </w:rPr>
        <w:t>、联系方式</w:t>
      </w:r>
    </w:p>
    <w:p w14:paraId="3FEA0A9D">
      <w:pPr>
        <w:spacing w:line="264" w:lineRule="auto"/>
        <w:ind w:left="600" w:hanging="600" w:hangingChars="250"/>
        <w:rPr>
          <w:rFonts w:ascii="宋体" w:hAnsi="宋体" w:eastAsia="宋体" w:cs="宋体"/>
          <w:sz w:val="24"/>
          <w:szCs w:val="24"/>
        </w:rPr>
      </w:pPr>
      <w:r>
        <w:rPr>
          <w:rFonts w:ascii="宋体" w:hAnsi="宋体" w:eastAsia="宋体" w:cs="宋体"/>
          <w:sz w:val="24"/>
          <w:szCs w:val="24"/>
        </w:rPr>
        <w:t>a</w:t>
      </w:r>
      <w:r>
        <w:rPr>
          <w:rFonts w:hint="eastAsia" w:ascii="宋体" w:hAnsi="宋体" w:eastAsia="宋体" w:cs="宋体"/>
          <w:sz w:val="24"/>
          <w:szCs w:val="24"/>
        </w:rPr>
        <w:t>、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14:paraId="2274C792">
      <w:pPr>
        <w:spacing w:line="264" w:lineRule="auto"/>
        <w:rPr>
          <w:rFonts w:ascii="宋体" w:hAnsi="宋体" w:eastAsia="宋体" w:cs="宋体"/>
          <w:sz w:val="24"/>
          <w:szCs w:val="24"/>
        </w:rPr>
      </w:pPr>
      <w:r>
        <w:rPr>
          <w:rFonts w:hint="eastAsia" w:ascii="宋体" w:hAnsi="宋体" w:eastAsia="宋体" w:cs="宋体"/>
          <w:sz w:val="24"/>
          <w:szCs w:val="24"/>
        </w:rPr>
        <w:t>单位名称：</w:t>
      </w:r>
    </w:p>
    <w:p w14:paraId="7FB5D172">
      <w:pPr>
        <w:spacing w:line="264" w:lineRule="auto"/>
        <w:rPr>
          <w:rFonts w:ascii="宋体" w:hAnsi="宋体" w:eastAsia="宋体" w:cs="宋体"/>
          <w:sz w:val="24"/>
          <w:szCs w:val="24"/>
        </w:rPr>
      </w:pPr>
      <w:r>
        <w:rPr>
          <w:rFonts w:hint="eastAsia" w:ascii="宋体" w:hAnsi="宋体" w:eastAsia="宋体" w:cs="宋体"/>
          <w:sz w:val="24"/>
          <w:szCs w:val="24"/>
        </w:rPr>
        <w:t>通信地址：</w:t>
      </w:r>
    </w:p>
    <w:p w14:paraId="243E2269">
      <w:pPr>
        <w:spacing w:line="264" w:lineRule="auto"/>
        <w:rPr>
          <w:rFonts w:ascii="宋体" w:hAnsi="宋体" w:eastAsia="宋体" w:cs="宋体"/>
          <w:sz w:val="24"/>
          <w:szCs w:val="24"/>
        </w:rPr>
      </w:pPr>
      <w:r>
        <w:rPr>
          <w:rFonts w:hint="eastAsia" w:ascii="宋体" w:hAnsi="宋体" w:eastAsia="宋体" w:cs="宋体"/>
          <w:sz w:val="24"/>
          <w:szCs w:val="24"/>
        </w:rPr>
        <w:t>联系人：</w:t>
      </w:r>
    </w:p>
    <w:p w14:paraId="5E2713D2">
      <w:pPr>
        <w:spacing w:line="264" w:lineRule="auto"/>
        <w:rPr>
          <w:rFonts w:ascii="宋体" w:hAnsi="宋体" w:eastAsia="宋体" w:cs="宋体"/>
          <w:sz w:val="24"/>
          <w:szCs w:val="24"/>
        </w:rPr>
      </w:pPr>
      <w:r>
        <w:rPr>
          <w:rFonts w:hint="eastAsia" w:ascii="宋体" w:hAnsi="宋体" w:eastAsia="宋体" w:cs="宋体"/>
          <w:sz w:val="24"/>
          <w:szCs w:val="24"/>
        </w:rPr>
        <w:t>联系电话：</w:t>
      </w:r>
    </w:p>
    <w:p w14:paraId="2F7C8A29">
      <w:pPr>
        <w:spacing w:line="264" w:lineRule="auto"/>
        <w:rPr>
          <w:rFonts w:ascii="宋体" w:hAnsi="宋体" w:eastAsia="宋体" w:cs="宋体"/>
          <w:sz w:val="24"/>
          <w:szCs w:val="24"/>
        </w:rPr>
      </w:pPr>
      <w:r>
        <w:rPr>
          <w:rFonts w:hint="eastAsia" w:ascii="宋体" w:hAnsi="宋体" w:eastAsia="宋体" w:cs="宋体"/>
          <w:sz w:val="24"/>
          <w:szCs w:val="24"/>
        </w:rPr>
        <w:t>传真电话：</w:t>
      </w:r>
    </w:p>
    <w:p w14:paraId="16B225E2">
      <w:pPr>
        <w:spacing w:line="264" w:lineRule="auto"/>
        <w:rPr>
          <w:rFonts w:ascii="宋体" w:hAnsi="宋体" w:eastAsia="宋体" w:cs="宋体"/>
          <w:sz w:val="24"/>
          <w:szCs w:val="24"/>
        </w:rPr>
      </w:pPr>
      <w:r>
        <w:rPr>
          <w:rFonts w:ascii="宋体" w:hAnsi="宋体" w:eastAsia="宋体" w:cs="宋体"/>
          <w:sz w:val="24"/>
          <w:szCs w:val="24"/>
        </w:rPr>
        <w:t>E-mail</w:t>
      </w:r>
      <w:r>
        <w:rPr>
          <w:rFonts w:hint="eastAsia" w:ascii="宋体" w:hAnsi="宋体" w:eastAsia="宋体" w:cs="宋体"/>
          <w:sz w:val="24"/>
          <w:szCs w:val="24"/>
        </w:rPr>
        <w:t>地址：</w:t>
      </w:r>
    </w:p>
    <w:p w14:paraId="0B4B980E">
      <w:pPr>
        <w:spacing w:line="264" w:lineRule="auto"/>
        <w:rPr>
          <w:rFonts w:ascii="宋体" w:hAnsi="宋体" w:eastAsia="宋体" w:cs="宋体"/>
          <w:sz w:val="24"/>
          <w:szCs w:val="24"/>
        </w:rPr>
      </w:pPr>
      <w:r>
        <w:rPr>
          <w:rFonts w:hint="eastAsia" w:ascii="宋体" w:hAnsi="宋体" w:eastAsia="宋体" w:cs="宋体"/>
          <w:sz w:val="24"/>
          <w:szCs w:val="24"/>
        </w:rPr>
        <w:t>开户银行：</w:t>
      </w:r>
      <w:r>
        <w:rPr>
          <w:rFonts w:ascii="宋体" w:hAnsi="宋体" w:eastAsia="宋体" w:cs="宋体"/>
          <w:sz w:val="24"/>
          <w:szCs w:val="24"/>
        </w:rPr>
        <w:t xml:space="preserve"> </w:t>
      </w:r>
    </w:p>
    <w:p w14:paraId="50026248">
      <w:pPr>
        <w:spacing w:line="264" w:lineRule="auto"/>
        <w:rPr>
          <w:rFonts w:ascii="宋体" w:hAnsi="宋体" w:eastAsia="宋体" w:cs="宋体"/>
          <w:sz w:val="24"/>
          <w:szCs w:val="24"/>
        </w:rPr>
      </w:pPr>
      <w:r>
        <w:rPr>
          <w:rFonts w:hint="eastAsia" w:ascii="宋体" w:hAnsi="宋体" w:eastAsia="宋体" w:cs="宋体"/>
          <w:sz w:val="24"/>
          <w:szCs w:val="24"/>
        </w:rPr>
        <w:t>账号：</w:t>
      </w:r>
    </w:p>
    <w:p w14:paraId="016D23C1">
      <w:pPr>
        <w:spacing w:line="264" w:lineRule="auto"/>
        <w:rPr>
          <w:rFonts w:ascii="宋体" w:hAnsi="宋体" w:eastAsia="宋体" w:cs="宋体"/>
          <w:b/>
          <w:bCs/>
          <w:sz w:val="24"/>
          <w:szCs w:val="24"/>
        </w:rPr>
      </w:pPr>
      <w:bookmarkStart w:id="4" w:name="_Hlk136845831"/>
      <w:r>
        <w:rPr>
          <w:rFonts w:ascii="宋体" w:hAnsi="宋体" w:eastAsia="宋体" w:cs="宋体"/>
          <w:b/>
          <w:bCs/>
          <w:sz w:val="24"/>
          <w:szCs w:val="24"/>
        </w:rPr>
        <w:t>11</w:t>
      </w:r>
      <w:r>
        <w:rPr>
          <w:rFonts w:hint="eastAsia" w:ascii="宋体" w:hAnsi="宋体" w:eastAsia="宋体" w:cs="宋体"/>
          <w:b/>
          <w:bCs/>
          <w:sz w:val="24"/>
          <w:szCs w:val="24"/>
        </w:rPr>
        <w:t>、履约保证金</w:t>
      </w:r>
    </w:p>
    <w:p w14:paraId="76345F1E">
      <w:pPr>
        <w:spacing w:before="156" w:beforeLines="50" w:after="156" w:afterLines="50" w:line="360" w:lineRule="auto"/>
        <w:ind w:firstLine="480" w:firstLineChars="200"/>
        <w:rPr>
          <w:rFonts w:ascii="宋体" w:hAnsi="宋体"/>
          <w:sz w:val="24"/>
        </w:rPr>
      </w:pPr>
      <w:r>
        <w:rPr>
          <w:rFonts w:hint="eastAsia" w:ascii="宋体" w:hAnsi="宋体"/>
          <w:sz w:val="24"/>
        </w:rPr>
        <w:t>为保证合同履行，本合同乙方需提供履约担保，履约担保收取的金额为</w:t>
      </w:r>
      <w:sdt>
        <w:sdtPr>
          <w:rPr>
            <w:rFonts w:hint="eastAsia" w:ascii="宋体" w:hAnsi="宋体"/>
            <w:sz w:val="24"/>
          </w:rPr>
          <w:id w:val="-101192346"/>
          <w:placeholder>
            <w:docPart w:val="17C08AD36BDC470E87170396F26703DE"/>
          </w:placeholder>
        </w:sdtPr>
        <w:sdtEndPr>
          <w:rPr>
            <w:rFonts w:hint="eastAsia" w:ascii="宋体" w:hAnsi="宋体"/>
            <w:sz w:val="24"/>
          </w:rPr>
        </w:sdtEndPr>
        <w:sdtContent>
          <w:r>
            <w:rPr>
              <w:rFonts w:ascii="宋体" w:hAnsi="宋体"/>
              <w:sz w:val="24"/>
            </w:rPr>
            <w:t>5</w:t>
          </w:r>
          <w:r>
            <w:rPr>
              <w:rFonts w:hint="eastAsia" w:ascii="宋体" w:hAnsi="宋体"/>
              <w:sz w:val="24"/>
            </w:rPr>
            <w:t>0</w:t>
          </w:r>
          <w:r>
            <w:rPr>
              <w:rFonts w:ascii="宋体" w:hAnsi="宋体"/>
              <w:sz w:val="24"/>
            </w:rPr>
            <w:t>00</w:t>
          </w:r>
          <w:r>
            <w:rPr>
              <w:rFonts w:hint="eastAsia" w:ascii="宋体" w:hAnsi="宋体"/>
              <w:sz w:val="24"/>
            </w:rPr>
            <w:t>元</w:t>
          </w:r>
        </w:sdtContent>
      </w:sdt>
      <w:r>
        <w:rPr>
          <w:rFonts w:hint="eastAsia" w:ascii="宋体" w:hAnsi="宋体"/>
          <w:sz w:val="24"/>
        </w:rPr>
        <w:t>。乙方需在本合同签订后</w:t>
      </w:r>
      <w:sdt>
        <w:sdtPr>
          <w:rPr>
            <w:rFonts w:hint="eastAsia" w:ascii="宋体" w:hAnsi="宋体"/>
            <w:sz w:val="24"/>
          </w:rPr>
          <w:id w:val="-1881389723"/>
          <w:placeholder>
            <w:docPart w:val="2AA5A6DE2625492EBEAB984137A94A5B"/>
          </w:placeholder>
        </w:sdtPr>
        <w:sdtEndPr>
          <w:rPr>
            <w:rFonts w:hint="default" w:ascii="宋体" w:hAnsi="宋体"/>
            <w:sz w:val="24"/>
          </w:rPr>
        </w:sdtEndPr>
        <w:sdtContent>
          <w:r>
            <w:rPr>
              <w:rFonts w:ascii="宋体" w:hAnsi="宋体"/>
              <w:sz w:val="24"/>
              <w:u w:val="single"/>
            </w:rPr>
            <w:t>15</w:t>
          </w:r>
        </w:sdtContent>
      </w:sdt>
      <w:r>
        <w:rPr>
          <w:rFonts w:hint="eastAsia" w:ascii="宋体" w:hAnsi="宋体"/>
          <w:sz w:val="24"/>
        </w:rPr>
        <w:t>日内交至甲方，逾期不交的，甲方将在支付第一次工程款时按未交部分扣回。</w:t>
      </w:r>
    </w:p>
    <w:p w14:paraId="66DDD307">
      <w:pPr>
        <w:spacing w:before="156" w:beforeLines="50" w:after="156" w:afterLines="50" w:line="360" w:lineRule="auto"/>
        <w:ind w:firstLine="480" w:firstLineChars="200"/>
        <w:rPr>
          <w:rFonts w:ascii="宋体" w:hAnsi="宋体"/>
          <w:sz w:val="24"/>
        </w:rPr>
      </w:pPr>
      <w:r>
        <w:rPr>
          <w:rFonts w:hint="eastAsia" w:ascii="宋体" w:hAnsi="宋体"/>
          <w:sz w:val="24"/>
        </w:rPr>
        <w:t>履约担保的时间：双方合同签定之日起至合同范围内工程竣工并通过验收；</w:t>
      </w:r>
    </w:p>
    <w:p w14:paraId="5E81F103">
      <w:pPr>
        <w:spacing w:line="360" w:lineRule="auto"/>
        <w:ind w:firstLine="480" w:firstLineChars="200"/>
        <w:rPr>
          <w:rFonts w:ascii="宋体" w:hAnsi="宋体"/>
          <w:sz w:val="24"/>
        </w:rPr>
      </w:pPr>
      <w:r>
        <w:rPr>
          <w:rFonts w:hint="eastAsia" w:ascii="宋体" w:hAnsi="宋体"/>
          <w:sz w:val="24"/>
        </w:rPr>
        <w:t>出具履约担保的方式可以为：</w:t>
      </w:r>
      <w:sdt>
        <w:sdtPr>
          <w:rPr>
            <w:rFonts w:hint="eastAsia" w:ascii="宋体" w:hAnsi="宋体"/>
            <w:sz w:val="24"/>
            <w:u w:val="single"/>
          </w:rPr>
          <w:id w:val="1841807272"/>
          <w:placeholder>
            <w:docPart w:val="48BEEDC3DFEB4158BE6C3F152BE20EA5"/>
          </w:placeholder>
          <w:text/>
        </w:sdtPr>
        <w:sdtEndPr>
          <w:rPr>
            <w:rFonts w:hint="eastAsia" w:ascii="宋体" w:hAnsi="宋体"/>
            <w:sz w:val="24"/>
            <w:u w:val="single"/>
          </w:rPr>
        </w:sdtEndPr>
        <w:sdtContent>
          <w:r>
            <w:rPr>
              <w:rFonts w:hint="eastAsia" w:ascii="宋体" w:hAnsi="宋体"/>
              <w:sz w:val="24"/>
              <w:u w:val="single"/>
            </w:rPr>
            <w:t>现金支票、银行转账或履约保函</w:t>
          </w:r>
        </w:sdtContent>
      </w:sdt>
      <w:r>
        <w:rPr>
          <w:rFonts w:hint="eastAsia" w:ascii="宋体" w:hAnsi="宋体"/>
          <w:sz w:val="24"/>
        </w:rPr>
        <w:t>。</w:t>
      </w:r>
    </w:p>
    <w:p w14:paraId="50B5ACA7">
      <w:pPr>
        <w:spacing w:line="360" w:lineRule="auto"/>
        <w:ind w:firstLine="480" w:firstLineChars="200"/>
        <w:rPr>
          <w:rFonts w:ascii="宋体" w:hAnsi="宋体"/>
          <w:sz w:val="24"/>
        </w:rPr>
      </w:pPr>
      <w:r>
        <w:rPr>
          <w:rFonts w:hint="eastAsia" w:ascii="宋体" w:hAnsi="宋体"/>
          <w:sz w:val="24"/>
        </w:rPr>
        <w:t>担保内容、方式和责任等事项的约定：</w:t>
      </w:r>
      <w:sdt>
        <w:sdtPr>
          <w:rPr>
            <w:rFonts w:hint="eastAsia" w:ascii="宋体" w:hAnsi="宋体"/>
            <w:iCs/>
            <w:sz w:val="24"/>
          </w:rPr>
          <w:id w:val="3945923"/>
        </w:sdtPr>
        <w:sdtEndPr>
          <w:rPr>
            <w:rFonts w:hint="eastAsia" w:ascii="宋体" w:hAnsi="宋体"/>
            <w:iCs/>
            <w:sz w:val="24"/>
          </w:rPr>
        </w:sdtEndPr>
        <w:sdtContent>
          <w:r>
            <w:rPr>
              <w:rFonts w:hint="eastAsia" w:ascii="宋体" w:hAnsi="宋体"/>
              <w:iCs/>
              <w:sz w:val="24"/>
              <w:u w:val="single"/>
            </w:rPr>
            <w:t>履约担保有效期直到本合同工程验收合格为止；但如果此时存在合同争端并且未能得到解决，那么履约担保的有效期限应延长到上述争端最终解决且所有理赔完毕。如果乙方未能履行合同规定的任何义务，甲方有权从履约担保的金额中得到补偿，不足补偿部分，甲方可以另行主张。</w:t>
          </w:r>
        </w:sdtContent>
      </w:sdt>
    </w:p>
    <w:p w14:paraId="49174DEC">
      <w:pPr>
        <w:spacing w:line="264" w:lineRule="auto"/>
        <w:rPr>
          <w:rFonts w:ascii="宋体" w:hAnsi="宋体" w:eastAsia="宋体" w:cs="宋体"/>
          <w:b/>
          <w:bCs/>
          <w:sz w:val="24"/>
          <w:szCs w:val="24"/>
        </w:rPr>
      </w:pPr>
      <w:r>
        <w:rPr>
          <w:rFonts w:hint="eastAsia" w:ascii="宋体" w:hAnsi="宋体"/>
          <w:sz w:val="24"/>
        </w:rPr>
        <w:t>履约担保于有效期截止后</w:t>
      </w:r>
      <w:sdt>
        <w:sdtPr>
          <w:rPr>
            <w:rFonts w:hint="eastAsia" w:ascii="宋体" w:hAnsi="宋体"/>
            <w:sz w:val="24"/>
          </w:rPr>
          <w:id w:val="2094508214"/>
          <w:placeholder>
            <w:docPart w:val="2AA5A6DE2625492EBEAB984137A94A5B"/>
          </w:placeholder>
        </w:sdtPr>
        <w:sdtEndPr>
          <w:rPr>
            <w:rFonts w:hint="default" w:ascii="宋体" w:hAnsi="宋体"/>
            <w:sz w:val="24"/>
          </w:rPr>
        </w:sdtEndPr>
        <w:sdtContent>
          <w:r>
            <w:rPr>
              <w:rFonts w:ascii="宋体" w:hAnsi="宋体"/>
              <w:sz w:val="24"/>
              <w:u w:val="single"/>
            </w:rPr>
            <w:t>30</w:t>
          </w:r>
        </w:sdtContent>
      </w:sdt>
      <w:r>
        <w:rPr>
          <w:rFonts w:hint="eastAsia" w:ascii="宋体" w:hAnsi="宋体"/>
          <w:sz w:val="24"/>
        </w:rPr>
        <w:t>天内一次性无息退还乙方。</w:t>
      </w:r>
    </w:p>
    <w:bookmarkEnd w:id="4"/>
    <w:p w14:paraId="0E1C0A86">
      <w:pPr>
        <w:spacing w:line="264" w:lineRule="auto"/>
        <w:rPr>
          <w:rFonts w:ascii="宋体" w:hAnsi="宋体" w:eastAsia="宋体" w:cs="宋体"/>
          <w:b/>
          <w:bCs/>
          <w:sz w:val="24"/>
          <w:szCs w:val="24"/>
        </w:rPr>
      </w:pPr>
      <w:r>
        <w:rPr>
          <w:rFonts w:ascii="宋体" w:hAnsi="宋体" w:eastAsia="宋体" w:cs="宋体"/>
          <w:b/>
          <w:bCs/>
          <w:sz w:val="24"/>
          <w:szCs w:val="24"/>
        </w:rPr>
        <w:t>12</w:t>
      </w:r>
      <w:r>
        <w:rPr>
          <w:rFonts w:hint="eastAsia" w:ascii="宋体" w:hAnsi="宋体" w:eastAsia="宋体" w:cs="宋体"/>
          <w:b/>
          <w:bCs/>
          <w:sz w:val="24"/>
          <w:szCs w:val="24"/>
        </w:rPr>
        <w:t>、其他条款：</w:t>
      </w:r>
    </w:p>
    <w:p w14:paraId="2AB27D71">
      <w:pPr>
        <w:numPr>
          <w:ilvl w:val="0"/>
          <w:numId w:val="38"/>
        </w:numPr>
        <w:spacing w:line="264" w:lineRule="auto"/>
        <w:rPr>
          <w:rFonts w:ascii="宋体" w:hAnsi="宋体" w:eastAsia="宋体" w:cs="宋体"/>
          <w:sz w:val="24"/>
          <w:szCs w:val="24"/>
        </w:rPr>
      </w:pPr>
      <w:r>
        <w:rPr>
          <w:rFonts w:hint="eastAsia" w:ascii="宋体" w:hAnsi="宋体" w:eastAsia="宋体" w:cs="宋体"/>
          <w:sz w:val="24"/>
          <w:szCs w:val="24"/>
        </w:rPr>
        <w:t>乙方正常保养服务时间为星期一至星期五，上午九时至下午五时。星期六，星期日及公众假期，如有机组发生故障，请与乙方</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联系。</w:t>
      </w:r>
    </w:p>
    <w:p w14:paraId="3515092D">
      <w:pPr>
        <w:numPr>
          <w:ilvl w:val="0"/>
          <w:numId w:val="38"/>
        </w:numPr>
        <w:spacing w:line="264" w:lineRule="auto"/>
        <w:rPr>
          <w:rFonts w:ascii="宋体" w:hAnsi="宋体" w:eastAsia="宋体" w:cs="宋体"/>
          <w:sz w:val="24"/>
          <w:szCs w:val="24"/>
        </w:rPr>
      </w:pPr>
      <w:r>
        <w:rPr>
          <w:rFonts w:hint="eastAsia" w:ascii="宋体" w:hAnsi="宋体" w:eastAsia="宋体" w:cs="宋体"/>
          <w:sz w:val="24"/>
          <w:szCs w:val="24"/>
        </w:rPr>
        <w:t>年度总保养每台冷冻机组需</w:t>
      </w:r>
      <w:r>
        <w:rPr>
          <w:rFonts w:ascii="宋体" w:hAnsi="宋体" w:eastAsia="宋体" w:cs="宋体"/>
          <w:sz w:val="24"/>
          <w:szCs w:val="24"/>
        </w:rPr>
        <w:t>1-2</w:t>
      </w:r>
      <w:r>
        <w:rPr>
          <w:rFonts w:hint="eastAsia" w:ascii="宋体" w:hAnsi="宋体" w:eastAsia="宋体" w:cs="宋体"/>
          <w:sz w:val="24"/>
          <w:szCs w:val="24"/>
        </w:rPr>
        <w:t>个工作日，在此期间该台冷冻机组将停止运行。</w:t>
      </w:r>
    </w:p>
    <w:p w14:paraId="3DDFE54D">
      <w:pPr>
        <w:numPr>
          <w:ilvl w:val="0"/>
          <w:numId w:val="38"/>
        </w:numPr>
        <w:spacing w:line="264" w:lineRule="auto"/>
        <w:rPr>
          <w:rFonts w:ascii="宋体" w:hAnsi="宋体" w:eastAsia="宋体" w:cs="宋体"/>
          <w:sz w:val="24"/>
          <w:szCs w:val="24"/>
        </w:rPr>
      </w:pPr>
      <w:r>
        <w:rPr>
          <w:rFonts w:hint="eastAsia" w:ascii="宋体" w:hAnsi="宋体" w:eastAsia="宋体" w:cs="宋体"/>
          <w:sz w:val="24"/>
          <w:szCs w:val="24"/>
        </w:rPr>
        <w:t>每次保养结束后，乙方将向甲方提供检查报告及故障隐患消除之建议。</w:t>
      </w:r>
    </w:p>
    <w:p w14:paraId="1D931114">
      <w:pPr>
        <w:numPr>
          <w:ilvl w:val="0"/>
          <w:numId w:val="38"/>
        </w:numPr>
        <w:spacing w:line="264" w:lineRule="auto"/>
        <w:rPr>
          <w:rFonts w:ascii="宋体" w:hAnsi="宋体" w:eastAsia="宋体" w:cs="宋体"/>
          <w:sz w:val="24"/>
          <w:szCs w:val="24"/>
        </w:rPr>
      </w:pPr>
      <w:r>
        <w:rPr>
          <w:rFonts w:hint="eastAsia" w:ascii="宋体" w:hAnsi="宋体" w:eastAsia="宋体" w:cs="宋体"/>
          <w:sz w:val="24"/>
          <w:szCs w:val="24"/>
        </w:rPr>
        <w:t>合同签订后，甲乙双方均不能随意终止，如发生争议协商未果，必须以诉讼方式解决，双方同意提交工程所在地人民法院管辖。</w:t>
      </w:r>
    </w:p>
    <w:p w14:paraId="73891F97">
      <w:pPr>
        <w:numPr>
          <w:ilvl w:val="0"/>
          <w:numId w:val="38"/>
        </w:numPr>
        <w:spacing w:line="264" w:lineRule="auto"/>
        <w:rPr>
          <w:rFonts w:ascii="宋体" w:hAnsi="宋体" w:eastAsia="宋体" w:cs="宋体"/>
          <w:sz w:val="24"/>
          <w:szCs w:val="24"/>
        </w:rPr>
      </w:pPr>
      <w:r>
        <w:rPr>
          <w:rFonts w:hint="eastAsia" w:ascii="宋体" w:hAnsi="宋体" w:eastAsia="宋体" w:cs="宋体"/>
          <w:sz w:val="24"/>
          <w:szCs w:val="24"/>
        </w:rPr>
        <w:t>本合同一式陆份，其中</w:t>
      </w:r>
      <w:r>
        <w:rPr>
          <w:rFonts w:ascii="宋体" w:hAnsi="宋体" w:eastAsia="宋体" w:cs="宋体"/>
          <w:sz w:val="24"/>
          <w:szCs w:val="24"/>
        </w:rPr>
        <w:t>甲方执肆份，</w:t>
      </w:r>
      <w:r>
        <w:rPr>
          <w:rFonts w:hint="eastAsia" w:ascii="宋体" w:hAnsi="宋体" w:eastAsia="宋体" w:cs="宋体"/>
          <w:sz w:val="24"/>
          <w:szCs w:val="24"/>
        </w:rPr>
        <w:t>乙方执贰份，具备同等法律效力。本合同自协议双方签字盖章之日起生效。</w:t>
      </w:r>
    </w:p>
    <w:p w14:paraId="729FEFF7">
      <w:pPr>
        <w:spacing w:line="264" w:lineRule="auto"/>
        <w:ind w:left="120"/>
        <w:rPr>
          <w:rFonts w:ascii="宋体" w:hAnsi="宋体" w:eastAsia="宋体" w:cs="宋体"/>
          <w:sz w:val="24"/>
          <w:szCs w:val="24"/>
        </w:rPr>
      </w:pPr>
    </w:p>
    <w:p w14:paraId="6315DBC6">
      <w:pPr>
        <w:spacing w:line="264" w:lineRule="auto"/>
        <w:ind w:left="120"/>
        <w:rPr>
          <w:rFonts w:ascii="宋体" w:hAnsi="宋体" w:eastAsia="宋体" w:cs="宋体"/>
          <w:sz w:val="24"/>
          <w:szCs w:val="24"/>
        </w:rPr>
      </w:pPr>
    </w:p>
    <w:p w14:paraId="14A9C6FD">
      <w:pPr>
        <w:spacing w:line="264" w:lineRule="auto"/>
        <w:ind w:left="120"/>
        <w:rPr>
          <w:rFonts w:ascii="宋体" w:hAnsi="宋体" w:eastAsia="宋体" w:cs="宋体"/>
          <w:sz w:val="24"/>
          <w:szCs w:val="24"/>
        </w:rPr>
      </w:pPr>
    </w:p>
    <w:p w14:paraId="66099B1E">
      <w:pPr>
        <w:spacing w:line="264" w:lineRule="auto"/>
        <w:ind w:right="480"/>
        <w:rPr>
          <w:rFonts w:ascii="宋体" w:hAnsi="宋体" w:eastAsia="宋体" w:cs="Times New Roman"/>
          <w:b/>
          <w:bCs/>
          <w:sz w:val="24"/>
          <w:szCs w:val="24"/>
        </w:rPr>
      </w:pPr>
      <w:r>
        <w:rPr>
          <w:rFonts w:hint="eastAsia" w:ascii="宋体" w:hAnsi="宋体" w:eastAsia="宋体" w:cs="宋体"/>
          <w:b/>
          <w:bCs/>
          <w:sz w:val="24"/>
          <w:szCs w:val="24"/>
        </w:rPr>
        <w:t>甲方：中山大学附属肿瘤医院</w:t>
      </w:r>
      <w:r>
        <w:rPr>
          <w:rFonts w:ascii="宋体" w:hAnsi="宋体" w:eastAsia="宋体" w:cs="宋体"/>
          <w:b/>
          <w:bCs/>
          <w:sz w:val="24"/>
          <w:szCs w:val="24"/>
        </w:rPr>
        <w:t xml:space="preserve">                </w:t>
      </w:r>
      <w:r>
        <w:rPr>
          <w:rFonts w:hint="eastAsia" w:ascii="宋体" w:hAnsi="宋体" w:eastAsia="宋体" w:cs="Times New Roman"/>
          <w:b/>
          <w:bCs/>
          <w:sz w:val="24"/>
          <w:szCs w:val="24"/>
        </w:rPr>
        <w:t>乙方：</w:t>
      </w:r>
      <w:r>
        <w:rPr>
          <w:rFonts w:ascii="宋体" w:hAnsi="宋体" w:eastAsia="宋体" w:cs="Times New Roman"/>
          <w:b/>
          <w:bCs/>
          <w:sz w:val="24"/>
          <w:szCs w:val="24"/>
        </w:rPr>
        <w:t xml:space="preserve"> </w:t>
      </w:r>
    </w:p>
    <w:p w14:paraId="3CD5C7DF">
      <w:pPr>
        <w:spacing w:line="264" w:lineRule="auto"/>
        <w:rPr>
          <w:rFonts w:ascii="宋体" w:hAnsi="宋体" w:eastAsia="宋体" w:cs="Times New Roman"/>
          <w:b/>
          <w:bCs/>
          <w:sz w:val="24"/>
          <w:szCs w:val="24"/>
        </w:rPr>
      </w:pPr>
    </w:p>
    <w:p w14:paraId="3380CA67">
      <w:pPr>
        <w:spacing w:line="264" w:lineRule="auto"/>
        <w:rPr>
          <w:rFonts w:ascii="宋体" w:hAnsi="宋体" w:eastAsia="宋体" w:cs="Times New Roman"/>
          <w:b/>
          <w:bCs/>
          <w:sz w:val="24"/>
          <w:szCs w:val="24"/>
        </w:rPr>
      </w:pPr>
      <w:r>
        <w:rPr>
          <w:rFonts w:hint="eastAsia" w:ascii="宋体" w:hAnsi="宋体" w:eastAsia="宋体" w:cs="Times New Roman"/>
          <w:b/>
          <w:bCs/>
          <w:sz w:val="24"/>
          <w:szCs w:val="24"/>
        </w:rPr>
        <w:t>甲方代表</w:t>
      </w:r>
      <w:r>
        <w:rPr>
          <w:rFonts w:ascii="宋体" w:hAnsi="宋体" w:eastAsia="宋体" w:cs="宋体"/>
          <w:b/>
          <w:bCs/>
          <w:sz w:val="24"/>
          <w:szCs w:val="24"/>
        </w:rPr>
        <w:t xml:space="preserve">:                                 </w:t>
      </w:r>
      <w:r>
        <w:rPr>
          <w:rFonts w:hint="eastAsia" w:ascii="宋体" w:hAnsi="宋体" w:eastAsia="宋体" w:cs="Times New Roman"/>
          <w:b/>
          <w:bCs/>
          <w:sz w:val="24"/>
          <w:szCs w:val="24"/>
        </w:rPr>
        <w:t>乙方代表</w:t>
      </w:r>
      <w:r>
        <w:rPr>
          <w:rFonts w:ascii="宋体" w:hAnsi="宋体" w:eastAsia="宋体" w:cs="宋体"/>
          <w:b/>
          <w:bCs/>
          <w:sz w:val="24"/>
          <w:szCs w:val="24"/>
        </w:rPr>
        <w:t>:</w:t>
      </w:r>
    </w:p>
    <w:p w14:paraId="05DBE152">
      <w:pPr>
        <w:spacing w:line="264" w:lineRule="auto"/>
        <w:rPr>
          <w:rFonts w:ascii="宋体" w:hAnsi="宋体" w:eastAsia="宋体" w:cs="宋体"/>
          <w:b/>
          <w:bCs/>
          <w:sz w:val="24"/>
          <w:szCs w:val="24"/>
        </w:rPr>
      </w:pPr>
    </w:p>
    <w:p w14:paraId="2221466B">
      <w:pPr>
        <w:spacing w:line="264" w:lineRule="auto"/>
        <w:rPr>
          <w:rFonts w:ascii="宋体" w:hAnsi="宋体" w:eastAsia="宋体" w:cs="Times New Roman"/>
          <w:b/>
          <w:bCs/>
          <w:sz w:val="24"/>
          <w:szCs w:val="24"/>
        </w:rPr>
      </w:pPr>
      <w:r>
        <w:rPr>
          <w:rFonts w:hint="eastAsia" w:ascii="宋体" w:hAnsi="宋体" w:eastAsia="宋体" w:cs="Times New Roman"/>
          <w:b/>
          <w:bCs/>
          <w:sz w:val="24"/>
          <w:szCs w:val="24"/>
        </w:rPr>
        <w:t>日期：</w:t>
      </w:r>
      <w:r>
        <w:rPr>
          <w:rFonts w:ascii="宋体" w:hAnsi="宋体" w:eastAsia="宋体" w:cs="Times New Roman"/>
          <w:b/>
          <w:bCs/>
          <w:sz w:val="24"/>
          <w:szCs w:val="24"/>
        </w:rPr>
        <w:t xml:space="preserve">                                      </w:t>
      </w:r>
      <w:r>
        <w:rPr>
          <w:rFonts w:hint="eastAsia" w:ascii="宋体" w:hAnsi="宋体" w:eastAsia="宋体" w:cs="Times New Roman"/>
          <w:b/>
          <w:bCs/>
          <w:sz w:val="24"/>
          <w:szCs w:val="24"/>
        </w:rPr>
        <w:t>日期：</w:t>
      </w:r>
    </w:p>
    <w:p w14:paraId="42DDC81E">
      <w:pPr>
        <w:spacing w:line="360" w:lineRule="auto"/>
        <w:rPr>
          <w:rFonts w:ascii="宋体" w:hAnsi="宋体" w:eastAsia="宋体" w:cs="宋体"/>
          <w:b/>
          <w:bCs/>
          <w:sz w:val="28"/>
          <w:szCs w:val="28"/>
        </w:rPr>
      </w:pPr>
      <w:r>
        <w:rPr>
          <w:rFonts w:ascii="宋体" w:hAnsi="宋体" w:eastAsia="宋体" w:cs="宋体"/>
          <w:b/>
          <w:bCs/>
          <w:sz w:val="28"/>
          <w:szCs w:val="28"/>
        </w:rPr>
        <w:br w:type="page"/>
      </w:r>
    </w:p>
    <w:p w14:paraId="6CD8A085">
      <w:pPr>
        <w:spacing w:line="360" w:lineRule="auto"/>
        <w:rPr>
          <w:rFonts w:ascii="宋体" w:hAnsi="宋体" w:eastAsia="宋体" w:cs="宋体"/>
          <w:b/>
          <w:bCs/>
          <w:sz w:val="28"/>
          <w:szCs w:val="28"/>
        </w:rPr>
      </w:pPr>
      <w:r>
        <w:rPr>
          <w:rFonts w:hint="eastAsia" w:ascii="宋体" w:hAnsi="宋体" w:eastAsia="宋体" w:cs="宋体"/>
          <w:b/>
          <w:bCs/>
          <w:sz w:val="28"/>
          <w:szCs w:val="28"/>
        </w:rPr>
        <w:t>附件一：</w:t>
      </w:r>
    </w:p>
    <w:p w14:paraId="1FDC386C">
      <w:pPr>
        <w:spacing w:line="360" w:lineRule="auto"/>
        <w:ind w:left="420" w:leftChars="200"/>
        <w:jc w:val="center"/>
        <w:rPr>
          <w:rFonts w:ascii="宋体" w:hAnsi="宋体" w:eastAsia="宋体" w:cs="宋体"/>
          <w:b/>
          <w:bCs/>
          <w:sz w:val="28"/>
          <w:szCs w:val="28"/>
        </w:rPr>
      </w:pPr>
      <w:r>
        <w:rPr>
          <w:rFonts w:hint="eastAsia" w:ascii="宋体" w:hAnsi="宋体" w:eastAsia="宋体" w:cs="宋体"/>
          <w:b/>
          <w:bCs/>
          <w:sz w:val="28"/>
          <w:szCs w:val="28"/>
        </w:rPr>
        <w:t>通炮、风冷主机翅片清洗内容</w:t>
      </w:r>
    </w:p>
    <w:p w14:paraId="155C886F">
      <w:pPr>
        <w:numPr>
          <w:ilvl w:val="0"/>
          <w:numId w:val="39"/>
        </w:numPr>
        <w:spacing w:line="360" w:lineRule="auto"/>
        <w:rPr>
          <w:rFonts w:ascii="宋体" w:hAnsi="宋体" w:eastAsia="宋体" w:cs="宋体"/>
          <w:b/>
          <w:bCs/>
          <w:sz w:val="24"/>
          <w:szCs w:val="24"/>
        </w:rPr>
      </w:pPr>
      <w:r>
        <w:rPr>
          <w:rFonts w:hint="eastAsia" w:ascii="宋体" w:hAnsi="宋体" w:eastAsia="宋体" w:cs="宋体"/>
          <w:b/>
          <w:bCs/>
          <w:sz w:val="24"/>
          <w:szCs w:val="24"/>
        </w:rPr>
        <w:t>翅片清洗、通泡清洗要求</w:t>
      </w:r>
      <w:r>
        <w:rPr>
          <w:rFonts w:hint="eastAsia" w:ascii="宋体" w:hAnsi="宋体" w:eastAsia="宋体" w:cs="宋体"/>
          <w:sz w:val="24"/>
          <w:szCs w:val="24"/>
        </w:rPr>
        <w:t>（清洗频率等）</w:t>
      </w:r>
    </w:p>
    <w:p w14:paraId="1590935E">
      <w:pPr>
        <w:numPr>
          <w:ilvl w:val="0"/>
          <w:numId w:val="40"/>
        </w:numPr>
        <w:spacing w:line="360" w:lineRule="auto"/>
        <w:rPr>
          <w:rFonts w:ascii="宋体" w:hAnsi="宋体" w:eastAsia="宋体" w:cs="宋体"/>
          <w:sz w:val="24"/>
          <w:szCs w:val="24"/>
        </w:rPr>
      </w:pPr>
      <w:r>
        <w:rPr>
          <w:rFonts w:hint="eastAsia" w:ascii="宋体" w:hAnsi="宋体" w:eastAsia="宋体" w:cs="宋体"/>
          <w:sz w:val="24"/>
          <w:szCs w:val="24"/>
        </w:rPr>
        <w:t>要求每月一次使用翅片清洗剂（如涤尘）清洗天面螺杆式风冷机组（手术室专用空调机组）的翅片，确保机组冷却换热效果良好；</w:t>
      </w:r>
    </w:p>
    <w:p w14:paraId="78ED28F4">
      <w:pPr>
        <w:numPr>
          <w:ilvl w:val="0"/>
          <w:numId w:val="40"/>
        </w:numPr>
        <w:spacing w:line="360" w:lineRule="auto"/>
        <w:rPr>
          <w:rFonts w:ascii="宋体" w:hAnsi="宋体" w:eastAsia="宋体" w:cs="宋体"/>
          <w:sz w:val="24"/>
          <w:szCs w:val="24"/>
        </w:rPr>
      </w:pPr>
      <w:r>
        <w:rPr>
          <w:rFonts w:hint="eastAsia" w:ascii="宋体" w:hAnsi="宋体" w:eastAsia="宋体" w:cs="宋体"/>
          <w:sz w:val="24"/>
          <w:szCs w:val="24"/>
        </w:rPr>
        <w:t>冷凝器的清洗及通炮，将趋近温度控制在4度以下；</w:t>
      </w:r>
    </w:p>
    <w:p w14:paraId="394BC8BD">
      <w:pPr>
        <w:numPr>
          <w:ilvl w:val="0"/>
          <w:numId w:val="40"/>
        </w:numPr>
        <w:spacing w:line="360" w:lineRule="auto"/>
        <w:rPr>
          <w:rFonts w:ascii="宋体" w:hAnsi="宋体" w:eastAsia="宋体" w:cs="宋体"/>
          <w:sz w:val="24"/>
          <w:szCs w:val="24"/>
        </w:rPr>
      </w:pPr>
      <w:r>
        <w:rPr>
          <w:rFonts w:hint="eastAsia" w:ascii="宋体" w:hAnsi="宋体" w:eastAsia="宋体" w:cs="宋体"/>
          <w:sz w:val="24"/>
          <w:szCs w:val="24"/>
        </w:rPr>
        <w:t>定期或主机趋近温度&gt;4度时对冷凝器进行机械通炮及化学清洗，冷却税系统换水后进行预膜处理，使管道形成一层均匀致密的氧化保护层，以控制系统的锈蚀速度，冷冻系统投加缓蚀剂作防锈缓蚀处理。</w:t>
      </w:r>
    </w:p>
    <w:p w14:paraId="3DFF0A5F">
      <w:pPr>
        <w:spacing w:line="360" w:lineRule="auto"/>
        <w:ind w:left="420" w:leftChars="200"/>
        <w:jc w:val="center"/>
        <w:rPr>
          <w:rFonts w:ascii="宋体" w:hAnsi="宋体" w:eastAsia="宋体" w:cs="宋体"/>
          <w:b/>
          <w:bCs/>
          <w:sz w:val="28"/>
          <w:szCs w:val="28"/>
        </w:rPr>
      </w:pPr>
    </w:p>
    <w:p w14:paraId="46DDE838">
      <w:pPr>
        <w:spacing w:line="360" w:lineRule="auto"/>
        <w:ind w:left="420" w:leftChars="200"/>
        <w:jc w:val="center"/>
        <w:rPr>
          <w:rFonts w:ascii="宋体" w:hAnsi="宋体" w:eastAsia="宋体" w:cs="宋体"/>
          <w:b/>
          <w:bCs/>
          <w:sz w:val="28"/>
          <w:szCs w:val="28"/>
        </w:rPr>
      </w:pPr>
    </w:p>
    <w:p w14:paraId="6398CCCC">
      <w:pPr>
        <w:spacing w:line="360" w:lineRule="auto"/>
        <w:ind w:left="420" w:leftChars="200"/>
        <w:jc w:val="center"/>
        <w:rPr>
          <w:rFonts w:ascii="宋体" w:hAnsi="宋体" w:eastAsia="宋体" w:cs="宋体"/>
          <w:b/>
          <w:bCs/>
          <w:sz w:val="28"/>
          <w:szCs w:val="28"/>
        </w:rPr>
      </w:pPr>
      <w:r>
        <w:rPr>
          <w:rFonts w:ascii="宋体" w:hAnsi="宋体" w:eastAsia="宋体" w:cs="宋体"/>
          <w:b/>
          <w:bCs/>
          <w:sz w:val="28"/>
          <w:szCs w:val="28"/>
        </w:rPr>
        <w:t>TRANE CVHG</w:t>
      </w:r>
      <w:r>
        <w:rPr>
          <w:rFonts w:hint="eastAsia" w:ascii="宋体" w:hAnsi="宋体" w:eastAsia="宋体" w:cs="宋体"/>
          <w:b/>
          <w:bCs/>
          <w:sz w:val="28"/>
          <w:szCs w:val="28"/>
        </w:rPr>
        <w:t>机组保养程序</w:t>
      </w:r>
    </w:p>
    <w:p w14:paraId="439E66C2">
      <w:pPr>
        <w:spacing w:line="276" w:lineRule="auto"/>
        <w:rPr>
          <w:rFonts w:ascii="宋体" w:hAnsi="宋体" w:eastAsia="宋体" w:cs="宋体"/>
          <w:b/>
          <w:bCs/>
          <w:sz w:val="24"/>
          <w:szCs w:val="24"/>
        </w:rPr>
      </w:pPr>
      <w:r>
        <w:rPr>
          <w:rFonts w:hint="eastAsia" w:ascii="宋体" w:hAnsi="宋体" w:eastAsia="宋体" w:cs="宋体"/>
          <w:b/>
          <w:bCs/>
          <w:sz w:val="24"/>
          <w:szCs w:val="24"/>
        </w:rPr>
        <w:t>应急服务：</w:t>
      </w:r>
    </w:p>
    <w:p w14:paraId="5A9E091D">
      <w:pPr>
        <w:numPr>
          <w:ilvl w:val="0"/>
          <w:numId w:val="41"/>
        </w:numPr>
        <w:tabs>
          <w:tab w:val="left" w:pos="284"/>
        </w:tabs>
        <w:spacing w:line="276" w:lineRule="auto"/>
        <w:rPr>
          <w:rFonts w:ascii="宋体" w:hAnsi="宋体" w:eastAsia="宋体" w:cs="宋体"/>
          <w:sz w:val="24"/>
          <w:szCs w:val="24"/>
        </w:rPr>
      </w:pPr>
      <w:r>
        <w:rPr>
          <w:rFonts w:hint="eastAsia" w:ascii="宋体" w:hAnsi="宋体" w:eastAsia="宋体" w:cs="宋体"/>
          <w:sz w:val="24"/>
          <w:szCs w:val="24"/>
        </w:rPr>
        <w:t>提供设备故障紧急咨询服务</w:t>
      </w:r>
    </w:p>
    <w:p w14:paraId="6B70ACCC">
      <w:pPr>
        <w:numPr>
          <w:ilvl w:val="0"/>
          <w:numId w:val="41"/>
        </w:numPr>
        <w:tabs>
          <w:tab w:val="left" w:pos="284"/>
        </w:tabs>
        <w:spacing w:line="276" w:lineRule="auto"/>
        <w:ind w:hanging="840"/>
        <w:rPr>
          <w:rFonts w:ascii="宋体" w:hAnsi="宋体" w:eastAsia="宋体" w:cs="宋体"/>
          <w:sz w:val="24"/>
          <w:szCs w:val="24"/>
        </w:rPr>
      </w:pPr>
      <w:r>
        <w:rPr>
          <w:rFonts w:hint="eastAsia" w:ascii="宋体" w:hAnsi="宋体" w:eastAsia="宋体" w:cs="宋体"/>
          <w:sz w:val="24"/>
          <w:szCs w:val="24"/>
        </w:rPr>
        <w:t>接到用户通知后，提供设备故障排除服务</w:t>
      </w:r>
    </w:p>
    <w:p w14:paraId="2F1F0B32">
      <w:pPr>
        <w:spacing w:line="276" w:lineRule="auto"/>
        <w:rPr>
          <w:rFonts w:ascii="宋体" w:hAnsi="宋体" w:eastAsia="宋体" w:cs="宋体"/>
          <w:b/>
          <w:bCs/>
          <w:sz w:val="24"/>
          <w:szCs w:val="24"/>
        </w:rPr>
      </w:pPr>
      <w:r>
        <w:rPr>
          <w:rFonts w:hint="eastAsia" w:ascii="宋体" w:hAnsi="宋体" w:eastAsia="宋体" w:cs="宋体"/>
          <w:b/>
          <w:bCs/>
          <w:sz w:val="24"/>
          <w:szCs w:val="24"/>
        </w:rPr>
        <w:t>月度常规保养：</w:t>
      </w:r>
    </w:p>
    <w:p w14:paraId="2A827F12">
      <w:pPr>
        <w:spacing w:after="60" w:line="276" w:lineRule="auto"/>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、压缩机马达</w:t>
      </w:r>
    </w:p>
    <w:p w14:paraId="65F36128">
      <w:pPr>
        <w:numPr>
          <w:ilvl w:val="0"/>
          <w:numId w:val="42"/>
        </w:numPr>
        <w:spacing w:line="276" w:lineRule="auto"/>
        <w:rPr>
          <w:rFonts w:ascii="宋体" w:hAnsi="宋体" w:eastAsia="宋体" w:cs="宋体"/>
          <w:sz w:val="24"/>
          <w:szCs w:val="24"/>
        </w:rPr>
      </w:pPr>
      <w:r>
        <w:rPr>
          <w:rFonts w:hint="eastAsia" w:ascii="宋体" w:hAnsi="宋体" w:eastAsia="宋体" w:cs="宋体"/>
          <w:sz w:val="24"/>
          <w:szCs w:val="24"/>
        </w:rPr>
        <w:t>检测及收紧所有之马达电源端子</w:t>
      </w:r>
    </w:p>
    <w:p w14:paraId="2A597D2A">
      <w:pPr>
        <w:numPr>
          <w:ilvl w:val="0"/>
          <w:numId w:val="42"/>
        </w:numPr>
        <w:spacing w:line="276" w:lineRule="auto"/>
        <w:ind w:left="476" w:hanging="357"/>
        <w:rPr>
          <w:rFonts w:ascii="宋体" w:hAnsi="宋体" w:eastAsia="宋体" w:cs="宋体"/>
          <w:sz w:val="24"/>
          <w:szCs w:val="24"/>
        </w:rPr>
      </w:pPr>
      <w:r>
        <w:rPr>
          <w:rFonts w:hint="eastAsia" w:ascii="宋体" w:hAnsi="宋体" w:eastAsia="宋体" w:cs="宋体"/>
          <w:sz w:val="24"/>
          <w:szCs w:val="24"/>
        </w:rPr>
        <w:t>检测马达线圈温度传感器奥姆值</w:t>
      </w:r>
    </w:p>
    <w:p w14:paraId="318E95FD">
      <w:pPr>
        <w:numPr>
          <w:ilvl w:val="0"/>
          <w:numId w:val="42"/>
        </w:numPr>
        <w:spacing w:line="276" w:lineRule="auto"/>
        <w:ind w:left="476" w:hanging="357"/>
        <w:rPr>
          <w:rFonts w:ascii="宋体" w:hAnsi="宋体" w:eastAsia="宋体" w:cs="宋体"/>
          <w:sz w:val="24"/>
          <w:szCs w:val="24"/>
        </w:rPr>
      </w:pPr>
      <w:r>
        <w:rPr>
          <w:rFonts w:hint="eastAsia" w:ascii="宋体" w:hAnsi="宋体" w:eastAsia="宋体" w:cs="宋体"/>
          <w:sz w:val="24"/>
          <w:szCs w:val="24"/>
        </w:rPr>
        <w:t>马达线组之绝缘阻抗测试</w:t>
      </w:r>
    </w:p>
    <w:p w14:paraId="76DE9005">
      <w:pPr>
        <w:spacing w:after="60" w:line="276" w:lineRule="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、马达起动控制箱</w:t>
      </w:r>
    </w:p>
    <w:p w14:paraId="668531CC">
      <w:pPr>
        <w:numPr>
          <w:ilvl w:val="0"/>
          <w:numId w:val="43"/>
        </w:numPr>
        <w:spacing w:line="276" w:lineRule="auto"/>
        <w:rPr>
          <w:rFonts w:ascii="宋体" w:hAnsi="宋体" w:eastAsia="宋体" w:cs="宋体"/>
          <w:sz w:val="24"/>
          <w:szCs w:val="24"/>
        </w:rPr>
      </w:pPr>
      <w:r>
        <w:rPr>
          <w:rFonts w:hint="eastAsia" w:ascii="宋体" w:hAnsi="宋体" w:eastAsia="宋体" w:cs="宋体"/>
          <w:sz w:val="24"/>
          <w:szCs w:val="24"/>
        </w:rPr>
        <w:t>收紧所有之电源端子</w:t>
      </w:r>
    </w:p>
    <w:p w14:paraId="4D5B6B18">
      <w:pPr>
        <w:numPr>
          <w:ilvl w:val="0"/>
          <w:numId w:val="43"/>
        </w:numPr>
        <w:spacing w:line="276" w:lineRule="auto"/>
        <w:ind w:left="476" w:hanging="357"/>
        <w:rPr>
          <w:rFonts w:ascii="宋体" w:hAnsi="宋体" w:eastAsia="宋体" w:cs="宋体"/>
          <w:sz w:val="24"/>
          <w:szCs w:val="24"/>
        </w:rPr>
      </w:pPr>
      <w:r>
        <w:rPr>
          <w:rFonts w:hint="eastAsia" w:ascii="宋体" w:hAnsi="宋体" w:eastAsia="宋体" w:cs="宋体"/>
          <w:sz w:val="24"/>
          <w:szCs w:val="24"/>
        </w:rPr>
        <w:t>对马达起动箱除垢</w:t>
      </w:r>
    </w:p>
    <w:p w14:paraId="0434EA09">
      <w:pPr>
        <w:spacing w:after="60" w:line="276" w:lineRule="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、润滑系统</w:t>
      </w:r>
    </w:p>
    <w:p w14:paraId="38F80FCF">
      <w:pPr>
        <w:numPr>
          <w:ilvl w:val="0"/>
          <w:numId w:val="44"/>
        </w:numPr>
        <w:spacing w:line="276" w:lineRule="auto"/>
        <w:rPr>
          <w:rFonts w:ascii="宋体" w:hAnsi="宋体" w:eastAsia="宋体" w:cs="宋体"/>
          <w:sz w:val="24"/>
          <w:szCs w:val="24"/>
        </w:rPr>
      </w:pPr>
      <w:r>
        <w:rPr>
          <w:rFonts w:hint="eastAsia" w:ascii="宋体" w:hAnsi="宋体" w:eastAsia="宋体" w:cs="宋体"/>
          <w:sz w:val="24"/>
          <w:szCs w:val="24"/>
        </w:rPr>
        <w:t>检查油槽油位是否正常</w:t>
      </w:r>
    </w:p>
    <w:p w14:paraId="630CAAD3">
      <w:pPr>
        <w:numPr>
          <w:ilvl w:val="0"/>
          <w:numId w:val="44"/>
        </w:numPr>
        <w:spacing w:line="276" w:lineRule="auto"/>
        <w:ind w:left="476" w:hanging="357"/>
        <w:rPr>
          <w:rFonts w:ascii="宋体" w:hAnsi="宋体" w:eastAsia="宋体" w:cs="宋体"/>
          <w:sz w:val="24"/>
          <w:szCs w:val="24"/>
        </w:rPr>
      </w:pPr>
      <w:r>
        <w:rPr>
          <w:rFonts w:hint="eastAsia" w:ascii="宋体" w:hAnsi="宋体" w:eastAsia="宋体" w:cs="宋体"/>
          <w:sz w:val="24"/>
          <w:szCs w:val="24"/>
        </w:rPr>
        <w:t>收紧油泵马达电源端子</w:t>
      </w:r>
    </w:p>
    <w:p w14:paraId="4CD7662B">
      <w:pPr>
        <w:numPr>
          <w:ilvl w:val="0"/>
          <w:numId w:val="44"/>
        </w:numPr>
        <w:spacing w:line="276" w:lineRule="auto"/>
        <w:ind w:left="476" w:hanging="357"/>
        <w:rPr>
          <w:rFonts w:ascii="宋体" w:hAnsi="宋体" w:eastAsia="宋体" w:cs="宋体"/>
          <w:sz w:val="24"/>
          <w:szCs w:val="24"/>
        </w:rPr>
      </w:pPr>
      <w:r>
        <w:rPr>
          <w:rFonts w:hint="eastAsia" w:ascii="宋体" w:hAnsi="宋体" w:eastAsia="宋体" w:cs="宋体"/>
          <w:sz w:val="24"/>
          <w:szCs w:val="24"/>
        </w:rPr>
        <w:t>检查及除垢处理</w:t>
      </w:r>
    </w:p>
    <w:p w14:paraId="12100303">
      <w:pPr>
        <w:spacing w:after="60" w:line="276" w:lineRule="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、控制及保护电路</w:t>
      </w:r>
    </w:p>
    <w:p w14:paraId="7828947E">
      <w:pPr>
        <w:numPr>
          <w:ilvl w:val="0"/>
          <w:numId w:val="45"/>
        </w:numPr>
        <w:spacing w:after="60" w:line="276" w:lineRule="auto"/>
        <w:rPr>
          <w:rFonts w:ascii="宋体" w:hAnsi="宋体" w:eastAsia="宋体" w:cs="宋体"/>
          <w:sz w:val="24"/>
          <w:szCs w:val="24"/>
        </w:rPr>
      </w:pPr>
      <w:r>
        <w:rPr>
          <w:rFonts w:hint="eastAsia" w:ascii="宋体" w:hAnsi="宋体" w:eastAsia="宋体" w:cs="宋体"/>
          <w:sz w:val="24"/>
          <w:szCs w:val="24"/>
        </w:rPr>
        <w:t>检查及调整导叶马达</w:t>
      </w:r>
    </w:p>
    <w:p w14:paraId="56D21F35">
      <w:pPr>
        <w:numPr>
          <w:ilvl w:val="0"/>
          <w:numId w:val="45"/>
        </w:numPr>
        <w:spacing w:line="276" w:lineRule="auto"/>
        <w:rPr>
          <w:rFonts w:ascii="宋体" w:hAnsi="宋体" w:eastAsia="宋体" w:cs="宋体"/>
          <w:sz w:val="24"/>
          <w:szCs w:val="24"/>
        </w:rPr>
      </w:pPr>
      <w:r>
        <w:rPr>
          <w:rFonts w:hint="eastAsia" w:ascii="宋体" w:hAnsi="宋体" w:eastAsia="宋体" w:cs="宋体"/>
          <w:sz w:val="24"/>
          <w:szCs w:val="24"/>
        </w:rPr>
        <w:t>润滑所有导叶之连杆及传动部份</w:t>
      </w:r>
    </w:p>
    <w:p w14:paraId="05A4AA3F">
      <w:pPr>
        <w:spacing w:after="60" w:line="276" w:lineRule="auto"/>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、一般系统检查</w:t>
      </w:r>
    </w:p>
    <w:p w14:paraId="19CA4120">
      <w:pPr>
        <w:numPr>
          <w:ilvl w:val="0"/>
          <w:numId w:val="46"/>
        </w:numPr>
        <w:spacing w:after="60" w:line="276" w:lineRule="auto"/>
        <w:rPr>
          <w:rFonts w:ascii="宋体" w:hAnsi="宋体" w:eastAsia="宋体" w:cs="宋体"/>
          <w:sz w:val="24"/>
          <w:szCs w:val="24"/>
        </w:rPr>
      </w:pPr>
      <w:r>
        <w:rPr>
          <w:rFonts w:hint="eastAsia" w:ascii="宋体" w:hAnsi="宋体" w:eastAsia="宋体" w:cs="宋体"/>
          <w:sz w:val="24"/>
          <w:szCs w:val="24"/>
        </w:rPr>
        <w:t>检查冷凝器，蒸发器水及冷媒之温差</w:t>
      </w:r>
    </w:p>
    <w:p w14:paraId="4EED212A">
      <w:pPr>
        <w:numPr>
          <w:ilvl w:val="0"/>
          <w:numId w:val="46"/>
        </w:numPr>
        <w:spacing w:line="276" w:lineRule="auto"/>
        <w:rPr>
          <w:rFonts w:ascii="宋体" w:hAnsi="宋体" w:eastAsia="宋体" w:cs="宋体"/>
          <w:sz w:val="24"/>
          <w:szCs w:val="24"/>
        </w:rPr>
      </w:pPr>
      <w:r>
        <w:rPr>
          <w:rFonts w:hint="eastAsia" w:ascii="宋体" w:hAnsi="宋体" w:eastAsia="宋体" w:cs="宋体"/>
          <w:sz w:val="24"/>
          <w:szCs w:val="24"/>
        </w:rPr>
        <w:t>检测冷媒系统有否有漏</w:t>
      </w:r>
    </w:p>
    <w:p w14:paraId="6C6197AE">
      <w:pPr>
        <w:numPr>
          <w:ilvl w:val="0"/>
          <w:numId w:val="46"/>
        </w:numPr>
        <w:spacing w:line="276" w:lineRule="auto"/>
        <w:rPr>
          <w:rFonts w:ascii="宋体" w:hAnsi="宋体" w:eastAsia="宋体" w:cs="宋体"/>
          <w:sz w:val="24"/>
          <w:szCs w:val="24"/>
        </w:rPr>
      </w:pPr>
      <w:r>
        <w:rPr>
          <w:rFonts w:hint="eastAsia" w:ascii="宋体" w:hAnsi="宋体" w:eastAsia="宋体" w:cs="宋体"/>
          <w:sz w:val="24"/>
          <w:szCs w:val="24"/>
        </w:rPr>
        <w:t>检测不正常之噪音，振动及高温</w:t>
      </w:r>
    </w:p>
    <w:p w14:paraId="51A6ED7A">
      <w:pPr>
        <w:numPr>
          <w:ilvl w:val="0"/>
          <w:numId w:val="46"/>
        </w:numPr>
        <w:spacing w:line="276" w:lineRule="auto"/>
        <w:rPr>
          <w:rFonts w:ascii="宋体" w:hAnsi="宋体" w:eastAsia="宋体" w:cs="宋体"/>
          <w:sz w:val="24"/>
          <w:szCs w:val="24"/>
        </w:rPr>
      </w:pPr>
      <w:r>
        <w:rPr>
          <w:rFonts w:hint="eastAsia" w:ascii="宋体" w:hAnsi="宋体" w:eastAsia="宋体" w:cs="宋体"/>
          <w:sz w:val="24"/>
          <w:szCs w:val="24"/>
        </w:rPr>
        <w:t>检测及报告损坏之表计</w:t>
      </w:r>
    </w:p>
    <w:p w14:paraId="0C8B819F">
      <w:pPr>
        <w:numPr>
          <w:ilvl w:val="0"/>
          <w:numId w:val="46"/>
        </w:numPr>
        <w:spacing w:line="276" w:lineRule="auto"/>
        <w:rPr>
          <w:rFonts w:ascii="宋体" w:hAnsi="宋体" w:eastAsia="宋体" w:cs="宋体"/>
          <w:sz w:val="24"/>
          <w:szCs w:val="24"/>
        </w:rPr>
      </w:pPr>
      <w:r>
        <w:rPr>
          <w:rFonts w:hint="eastAsia" w:ascii="宋体" w:hAnsi="宋体" w:eastAsia="宋体" w:cs="宋体"/>
          <w:sz w:val="24"/>
          <w:szCs w:val="24"/>
        </w:rPr>
        <w:t>从窗口检视压缩机油位是否正常</w:t>
      </w:r>
    </w:p>
    <w:p w14:paraId="7702D3E9">
      <w:pPr>
        <w:numPr>
          <w:ilvl w:val="0"/>
          <w:numId w:val="46"/>
        </w:numPr>
        <w:spacing w:line="276" w:lineRule="auto"/>
        <w:rPr>
          <w:rFonts w:ascii="宋体" w:hAnsi="宋体" w:eastAsia="宋体" w:cs="宋体"/>
          <w:sz w:val="24"/>
          <w:szCs w:val="24"/>
        </w:rPr>
      </w:pPr>
      <w:r>
        <w:rPr>
          <w:rFonts w:hint="eastAsia" w:ascii="宋体" w:hAnsi="宋体" w:eastAsia="宋体" w:cs="宋体"/>
          <w:sz w:val="24"/>
          <w:szCs w:val="24"/>
        </w:rPr>
        <w:t>运转主机，检查及报告其操作状况</w:t>
      </w:r>
      <w:r>
        <w:rPr>
          <w:rFonts w:ascii="宋体" w:hAnsi="宋体" w:eastAsia="宋体" w:cs="Times New Roman"/>
          <w:sz w:val="24"/>
          <w:szCs w:val="24"/>
        </w:rPr>
        <w:tab/>
      </w:r>
    </w:p>
    <w:p w14:paraId="36EC3F06">
      <w:pPr>
        <w:spacing w:line="276" w:lineRule="auto"/>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、主机清洁及防腐处理</w:t>
      </w:r>
    </w:p>
    <w:p w14:paraId="72E5398E">
      <w:pPr>
        <w:spacing w:line="276" w:lineRule="auto"/>
        <w:rPr>
          <w:rFonts w:ascii="宋体" w:hAnsi="宋体" w:eastAsia="宋体" w:cs="Times New Roman"/>
          <w:b/>
          <w:bCs/>
          <w:sz w:val="24"/>
          <w:szCs w:val="24"/>
        </w:rPr>
      </w:pPr>
      <w:r>
        <w:rPr>
          <w:rFonts w:hint="eastAsia" w:ascii="宋体" w:hAnsi="宋体" w:eastAsia="宋体" w:cs="宋体"/>
          <w:b/>
          <w:bCs/>
          <w:sz w:val="24"/>
          <w:szCs w:val="24"/>
        </w:rPr>
        <w:t>年度保养（通常在机组启动前进行）：</w:t>
      </w:r>
    </w:p>
    <w:p w14:paraId="686F63FA">
      <w:pPr>
        <w:spacing w:line="276"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宋体"/>
          <w:sz w:val="24"/>
          <w:szCs w:val="24"/>
        </w:rPr>
        <w:t>、压缩机马达</w:t>
      </w:r>
    </w:p>
    <w:p w14:paraId="1B53F197">
      <w:pPr>
        <w:numPr>
          <w:ilvl w:val="0"/>
          <w:numId w:val="47"/>
        </w:numPr>
        <w:spacing w:line="276" w:lineRule="auto"/>
        <w:rPr>
          <w:rFonts w:ascii="宋体" w:hAnsi="宋体" w:eastAsia="宋体" w:cs="Times New Roman"/>
          <w:sz w:val="24"/>
          <w:szCs w:val="24"/>
        </w:rPr>
      </w:pPr>
      <w:r>
        <w:rPr>
          <w:rFonts w:hint="eastAsia" w:ascii="宋体" w:hAnsi="宋体" w:eastAsia="宋体" w:cs="宋体"/>
          <w:sz w:val="24"/>
          <w:szCs w:val="24"/>
        </w:rPr>
        <w:t>检测及收紧所有之马达电源端子</w:t>
      </w:r>
    </w:p>
    <w:p w14:paraId="233087A7">
      <w:pPr>
        <w:numPr>
          <w:ilvl w:val="0"/>
          <w:numId w:val="47"/>
        </w:numPr>
        <w:spacing w:line="276" w:lineRule="auto"/>
        <w:rPr>
          <w:rFonts w:ascii="宋体" w:hAnsi="宋体" w:eastAsia="宋体" w:cs="Times New Roman"/>
          <w:sz w:val="24"/>
          <w:szCs w:val="24"/>
        </w:rPr>
      </w:pPr>
      <w:r>
        <w:rPr>
          <w:rFonts w:hint="eastAsia" w:ascii="宋体" w:hAnsi="宋体" w:eastAsia="宋体" w:cs="宋体"/>
          <w:sz w:val="24"/>
          <w:szCs w:val="24"/>
        </w:rPr>
        <w:t>检测马达线圈温度传感器奥姆值</w:t>
      </w:r>
    </w:p>
    <w:p w14:paraId="1F907870">
      <w:pPr>
        <w:numPr>
          <w:ilvl w:val="0"/>
          <w:numId w:val="47"/>
        </w:numPr>
        <w:spacing w:line="276" w:lineRule="auto"/>
        <w:rPr>
          <w:rFonts w:ascii="宋体" w:hAnsi="宋体" w:eastAsia="宋体" w:cs="Times New Roman"/>
          <w:sz w:val="24"/>
          <w:szCs w:val="24"/>
        </w:rPr>
      </w:pPr>
      <w:r>
        <w:rPr>
          <w:rFonts w:hint="eastAsia" w:ascii="宋体" w:hAnsi="宋体" w:eastAsia="宋体" w:cs="宋体"/>
          <w:sz w:val="24"/>
          <w:szCs w:val="24"/>
        </w:rPr>
        <w:t>马达线组之绝缘阻抗测试</w:t>
      </w:r>
    </w:p>
    <w:p w14:paraId="5051EE86">
      <w:pPr>
        <w:spacing w:line="276"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宋体"/>
          <w:sz w:val="24"/>
          <w:szCs w:val="24"/>
        </w:rPr>
        <w:t>、马达起动控制箱</w:t>
      </w:r>
    </w:p>
    <w:p w14:paraId="4432A2BE">
      <w:pPr>
        <w:numPr>
          <w:ilvl w:val="0"/>
          <w:numId w:val="48"/>
        </w:numPr>
        <w:spacing w:line="276" w:lineRule="auto"/>
        <w:rPr>
          <w:rFonts w:ascii="宋体" w:hAnsi="宋体" w:eastAsia="宋体" w:cs="宋体"/>
          <w:sz w:val="24"/>
          <w:szCs w:val="24"/>
        </w:rPr>
      </w:pPr>
      <w:r>
        <w:rPr>
          <w:rFonts w:hint="eastAsia" w:ascii="宋体" w:hAnsi="宋体" w:eastAsia="宋体" w:cs="宋体"/>
          <w:sz w:val="24"/>
          <w:szCs w:val="24"/>
        </w:rPr>
        <w:t>收紧所有之电源端子</w:t>
      </w:r>
    </w:p>
    <w:p w14:paraId="731B56EA">
      <w:pPr>
        <w:numPr>
          <w:ilvl w:val="0"/>
          <w:numId w:val="48"/>
        </w:numPr>
        <w:spacing w:line="276" w:lineRule="auto"/>
        <w:rPr>
          <w:rFonts w:ascii="宋体" w:hAnsi="宋体" w:eastAsia="宋体" w:cs="宋体"/>
          <w:sz w:val="24"/>
          <w:szCs w:val="24"/>
        </w:rPr>
      </w:pPr>
      <w:r>
        <w:rPr>
          <w:rFonts w:hint="eastAsia" w:ascii="宋体" w:hAnsi="宋体" w:eastAsia="宋体" w:cs="宋体"/>
          <w:sz w:val="24"/>
          <w:szCs w:val="24"/>
        </w:rPr>
        <w:t>检测马达起动器的所有其他装置</w:t>
      </w:r>
    </w:p>
    <w:p w14:paraId="7D17643A">
      <w:pPr>
        <w:numPr>
          <w:ilvl w:val="0"/>
          <w:numId w:val="48"/>
        </w:numPr>
        <w:spacing w:line="276" w:lineRule="auto"/>
        <w:rPr>
          <w:rFonts w:ascii="宋体" w:hAnsi="宋体" w:eastAsia="宋体" w:cs="Times New Roman"/>
          <w:sz w:val="24"/>
          <w:szCs w:val="24"/>
        </w:rPr>
      </w:pPr>
      <w:r>
        <w:rPr>
          <w:rFonts w:hint="eastAsia" w:ascii="宋体" w:hAnsi="宋体" w:eastAsia="宋体" w:cs="宋体"/>
          <w:sz w:val="24"/>
          <w:szCs w:val="24"/>
        </w:rPr>
        <w:t>检测各接触器线路端子</w:t>
      </w:r>
    </w:p>
    <w:p w14:paraId="4A423B78">
      <w:pPr>
        <w:numPr>
          <w:ilvl w:val="0"/>
          <w:numId w:val="48"/>
        </w:numPr>
        <w:spacing w:line="276" w:lineRule="auto"/>
        <w:rPr>
          <w:rFonts w:ascii="宋体" w:hAnsi="宋体" w:eastAsia="宋体" w:cs="Times New Roman"/>
          <w:sz w:val="24"/>
          <w:szCs w:val="24"/>
        </w:rPr>
      </w:pPr>
      <w:r>
        <w:rPr>
          <w:rFonts w:hint="eastAsia" w:ascii="宋体" w:hAnsi="宋体" w:eastAsia="宋体" w:cs="宋体"/>
          <w:sz w:val="24"/>
          <w:szCs w:val="24"/>
        </w:rPr>
        <w:t>对马达起动箱除垢</w:t>
      </w:r>
    </w:p>
    <w:p w14:paraId="3F339786">
      <w:pPr>
        <w:numPr>
          <w:ilvl w:val="0"/>
          <w:numId w:val="48"/>
        </w:numPr>
        <w:spacing w:line="276" w:lineRule="auto"/>
        <w:rPr>
          <w:rFonts w:ascii="宋体" w:hAnsi="宋体" w:eastAsia="宋体" w:cs="Times New Roman"/>
          <w:sz w:val="24"/>
          <w:szCs w:val="24"/>
        </w:rPr>
      </w:pPr>
      <w:r>
        <w:rPr>
          <w:rFonts w:hint="eastAsia" w:ascii="宋体" w:hAnsi="宋体" w:eastAsia="宋体" w:cs="宋体"/>
          <w:sz w:val="24"/>
          <w:szCs w:val="24"/>
        </w:rPr>
        <w:t>检测马达接线端子温度</w:t>
      </w:r>
    </w:p>
    <w:p w14:paraId="2B70D7B6">
      <w:pPr>
        <w:numPr>
          <w:ilvl w:val="0"/>
          <w:numId w:val="48"/>
        </w:numPr>
        <w:spacing w:line="276" w:lineRule="auto"/>
        <w:rPr>
          <w:rFonts w:ascii="宋体" w:hAnsi="宋体" w:eastAsia="宋体" w:cs="Times New Roman"/>
          <w:sz w:val="24"/>
          <w:szCs w:val="24"/>
        </w:rPr>
      </w:pPr>
      <w:r>
        <w:rPr>
          <w:rFonts w:hint="eastAsia" w:ascii="宋体" w:hAnsi="宋体" w:eastAsia="宋体" w:cs="宋体"/>
          <w:sz w:val="24"/>
          <w:szCs w:val="24"/>
        </w:rPr>
        <w:t>检测各接触器接点</w:t>
      </w:r>
    </w:p>
    <w:p w14:paraId="5415CE91">
      <w:pPr>
        <w:numPr>
          <w:ilvl w:val="0"/>
          <w:numId w:val="48"/>
        </w:numPr>
        <w:spacing w:line="276" w:lineRule="auto"/>
        <w:rPr>
          <w:rFonts w:ascii="宋体" w:hAnsi="宋体" w:eastAsia="宋体" w:cs="Times New Roman"/>
          <w:sz w:val="24"/>
          <w:szCs w:val="24"/>
        </w:rPr>
      </w:pPr>
      <w:r>
        <w:rPr>
          <w:rFonts w:hint="eastAsia" w:ascii="宋体" w:hAnsi="宋体" w:eastAsia="宋体" w:cs="宋体"/>
          <w:sz w:val="24"/>
          <w:szCs w:val="24"/>
        </w:rPr>
        <w:t>清洁各接触器接点</w:t>
      </w:r>
    </w:p>
    <w:p w14:paraId="6B0A3C04">
      <w:pPr>
        <w:spacing w:line="276" w:lineRule="auto"/>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宋体"/>
          <w:sz w:val="24"/>
          <w:szCs w:val="24"/>
        </w:rPr>
        <w:t>、润滑系统</w:t>
      </w:r>
    </w:p>
    <w:p w14:paraId="381D9083">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更换压缩机润滑油</w:t>
      </w:r>
    </w:p>
    <w:p w14:paraId="0E87AEAA">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检测油槽油位是否正常（运转中）</w:t>
      </w:r>
    </w:p>
    <w:p w14:paraId="06B553AE">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更换压缩机油过滤器</w:t>
      </w:r>
    </w:p>
    <w:p w14:paraId="4CAC47CD">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检测油温控制传感器</w:t>
      </w:r>
    </w:p>
    <w:p w14:paraId="41C38F30">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收紧油泵马达电源端子</w:t>
      </w:r>
    </w:p>
    <w:p w14:paraId="216B5700">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记录马达运转电流</w:t>
      </w:r>
    </w:p>
    <w:p w14:paraId="0CBD9CA5">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检测油泵马达绕阻</w:t>
      </w:r>
    </w:p>
    <w:p w14:paraId="08C32416">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检测马达线圈内阻</w:t>
      </w:r>
    </w:p>
    <w:p w14:paraId="52ED0543">
      <w:pPr>
        <w:numPr>
          <w:ilvl w:val="0"/>
          <w:numId w:val="49"/>
        </w:numPr>
        <w:spacing w:line="276" w:lineRule="auto"/>
        <w:rPr>
          <w:rFonts w:ascii="宋体" w:hAnsi="宋体" w:eastAsia="宋体" w:cs="Times New Roman"/>
          <w:sz w:val="24"/>
          <w:szCs w:val="24"/>
        </w:rPr>
      </w:pPr>
      <w:r>
        <w:rPr>
          <w:rFonts w:hint="eastAsia" w:ascii="宋体" w:hAnsi="宋体" w:eastAsia="宋体" w:cs="宋体"/>
          <w:sz w:val="24"/>
          <w:szCs w:val="24"/>
        </w:rPr>
        <w:t>检测及除垢处理</w:t>
      </w:r>
    </w:p>
    <w:p w14:paraId="0ECE69B9">
      <w:pPr>
        <w:numPr>
          <w:ilvl w:val="0"/>
          <w:numId w:val="49"/>
        </w:numPr>
        <w:snapToGrid w:val="0"/>
        <w:spacing w:line="276" w:lineRule="auto"/>
        <w:rPr>
          <w:rFonts w:ascii="宋体" w:hAnsi="宋体" w:eastAsia="宋体" w:cs="Times New Roman"/>
          <w:sz w:val="24"/>
          <w:szCs w:val="24"/>
        </w:rPr>
      </w:pPr>
      <w:r>
        <w:rPr>
          <w:rFonts w:hint="eastAsia" w:ascii="宋体" w:hAnsi="宋体" w:eastAsia="宋体" w:cs="宋体"/>
          <w:sz w:val="24"/>
          <w:szCs w:val="24"/>
        </w:rPr>
        <w:t>进行一次油化验服务并提供化验报告</w:t>
      </w:r>
    </w:p>
    <w:p w14:paraId="1C054342">
      <w:pPr>
        <w:spacing w:line="276" w:lineRule="auto"/>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宋体"/>
          <w:sz w:val="24"/>
          <w:szCs w:val="24"/>
        </w:rPr>
        <w:t>、控制及保护电路</w:t>
      </w:r>
    </w:p>
    <w:p w14:paraId="795F9020">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检测及校正低温传感器</w:t>
      </w:r>
    </w:p>
    <w:p w14:paraId="776B1867">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检测及调整高压开关</w:t>
      </w:r>
    </w:p>
    <w:p w14:paraId="1033FFD3">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检测及校正高压传感器（选择配备）</w:t>
      </w:r>
    </w:p>
    <w:p w14:paraId="6991E21C">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检测及调整油压调节阀</w:t>
      </w:r>
    </w:p>
    <w:p w14:paraId="2E97BD60">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检测油压传感器</w:t>
      </w:r>
    </w:p>
    <w:p w14:paraId="0E362D8A">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检测及调整</w:t>
      </w:r>
      <w:r>
        <w:rPr>
          <w:rFonts w:ascii="宋体" w:hAnsi="宋体" w:eastAsia="宋体" w:cs="Times New Roman"/>
          <w:sz w:val="24"/>
          <w:szCs w:val="24"/>
        </w:rPr>
        <w:t>Guide Vane</w:t>
      </w:r>
      <w:r>
        <w:rPr>
          <w:rFonts w:hint="eastAsia" w:ascii="宋体" w:hAnsi="宋体" w:eastAsia="宋体" w:cs="宋体"/>
          <w:sz w:val="24"/>
          <w:szCs w:val="24"/>
        </w:rPr>
        <w:t>步进马达</w:t>
      </w:r>
    </w:p>
    <w:p w14:paraId="034F58CA">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润滑所有</w:t>
      </w:r>
      <w:r>
        <w:rPr>
          <w:rFonts w:ascii="宋体" w:hAnsi="宋体" w:eastAsia="宋体" w:cs="Times New Roman"/>
          <w:sz w:val="24"/>
          <w:szCs w:val="24"/>
        </w:rPr>
        <w:t>Guide Vane</w:t>
      </w:r>
      <w:r>
        <w:rPr>
          <w:rFonts w:hint="eastAsia" w:ascii="宋体" w:hAnsi="宋体" w:eastAsia="宋体" w:cs="宋体"/>
          <w:sz w:val="24"/>
          <w:szCs w:val="24"/>
        </w:rPr>
        <w:t>之连杆及传动部份</w:t>
      </w:r>
    </w:p>
    <w:p w14:paraId="3E286823">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检测冷却水及冰水温度传感器</w:t>
      </w:r>
    </w:p>
    <w:p w14:paraId="7E2363C7">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检测及调整冷却水及冷冻水流量开关</w:t>
      </w:r>
    </w:p>
    <w:p w14:paraId="7A9713C7">
      <w:pPr>
        <w:numPr>
          <w:ilvl w:val="0"/>
          <w:numId w:val="50"/>
        </w:numPr>
        <w:spacing w:line="276" w:lineRule="auto"/>
        <w:rPr>
          <w:rFonts w:ascii="宋体" w:hAnsi="宋体" w:eastAsia="宋体" w:cs="Times New Roman"/>
          <w:sz w:val="24"/>
          <w:szCs w:val="24"/>
        </w:rPr>
      </w:pPr>
      <w:r>
        <w:rPr>
          <w:rFonts w:hint="eastAsia" w:ascii="宋体" w:hAnsi="宋体" w:eastAsia="宋体" w:cs="宋体"/>
          <w:sz w:val="24"/>
          <w:szCs w:val="24"/>
        </w:rPr>
        <w:t>校正及调整主机设定参数</w:t>
      </w:r>
    </w:p>
    <w:p w14:paraId="17DEE71F">
      <w:pPr>
        <w:spacing w:line="276" w:lineRule="auto"/>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宋体"/>
          <w:sz w:val="24"/>
          <w:szCs w:val="24"/>
        </w:rPr>
        <w:t>、冷凝器</w:t>
      </w:r>
    </w:p>
    <w:p w14:paraId="2393B17E">
      <w:pPr>
        <w:numPr>
          <w:ilvl w:val="0"/>
          <w:numId w:val="51"/>
        </w:numPr>
        <w:spacing w:line="276" w:lineRule="auto"/>
        <w:rPr>
          <w:rFonts w:ascii="宋体" w:hAnsi="宋体" w:eastAsia="宋体" w:cs="Times New Roman"/>
          <w:sz w:val="24"/>
          <w:szCs w:val="24"/>
        </w:rPr>
      </w:pPr>
      <w:r>
        <w:rPr>
          <w:rFonts w:hint="eastAsia" w:ascii="宋体" w:hAnsi="宋体" w:eastAsia="宋体" w:cs="宋体"/>
          <w:sz w:val="24"/>
          <w:szCs w:val="24"/>
        </w:rPr>
        <w:t>检测水及冷媒之温差</w:t>
      </w:r>
    </w:p>
    <w:p w14:paraId="6E6B23FA">
      <w:pPr>
        <w:numPr>
          <w:ilvl w:val="0"/>
          <w:numId w:val="51"/>
        </w:numPr>
        <w:spacing w:line="276" w:lineRule="auto"/>
        <w:rPr>
          <w:rFonts w:ascii="宋体" w:hAnsi="宋体" w:eastAsia="宋体" w:cs="Times New Roman"/>
          <w:sz w:val="24"/>
          <w:szCs w:val="24"/>
        </w:rPr>
      </w:pPr>
      <w:r>
        <w:rPr>
          <w:rFonts w:hint="eastAsia" w:ascii="宋体" w:hAnsi="宋体" w:eastAsia="宋体" w:cs="宋体"/>
          <w:sz w:val="24"/>
          <w:szCs w:val="24"/>
        </w:rPr>
        <w:t>检测冷媒饱和温度传感器</w:t>
      </w:r>
    </w:p>
    <w:p w14:paraId="3A8AD37C">
      <w:pPr>
        <w:numPr>
          <w:ilvl w:val="0"/>
          <w:numId w:val="51"/>
        </w:numPr>
        <w:spacing w:line="276" w:lineRule="auto"/>
        <w:rPr>
          <w:rFonts w:ascii="宋体" w:hAnsi="宋体" w:eastAsia="宋体" w:cs="Times New Roman"/>
          <w:sz w:val="24"/>
          <w:szCs w:val="24"/>
        </w:rPr>
      </w:pPr>
      <w:r>
        <w:rPr>
          <w:rFonts w:hint="eastAsia" w:ascii="宋体" w:hAnsi="宋体" w:eastAsia="宋体" w:cs="宋体"/>
          <w:sz w:val="24"/>
          <w:szCs w:val="24"/>
        </w:rPr>
        <w:t>冷凝器的清洗及通炮，将趋近温度控制在4度以下</w:t>
      </w:r>
    </w:p>
    <w:p w14:paraId="3BCB26D2">
      <w:pPr>
        <w:spacing w:line="276" w:lineRule="auto"/>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宋体"/>
          <w:sz w:val="24"/>
          <w:szCs w:val="24"/>
        </w:rPr>
        <w:t>、蒸发器</w:t>
      </w:r>
    </w:p>
    <w:p w14:paraId="779A315D">
      <w:pPr>
        <w:numPr>
          <w:ilvl w:val="0"/>
          <w:numId w:val="52"/>
        </w:numPr>
        <w:spacing w:line="276" w:lineRule="auto"/>
        <w:rPr>
          <w:rFonts w:ascii="宋体" w:hAnsi="宋体" w:eastAsia="宋体" w:cs="Times New Roman"/>
          <w:sz w:val="24"/>
          <w:szCs w:val="24"/>
        </w:rPr>
      </w:pPr>
      <w:r>
        <w:rPr>
          <w:rFonts w:hint="eastAsia" w:ascii="宋体" w:hAnsi="宋体" w:eastAsia="宋体" w:cs="宋体"/>
          <w:sz w:val="24"/>
          <w:szCs w:val="24"/>
        </w:rPr>
        <w:t>检测水及冷媒之温差</w:t>
      </w:r>
    </w:p>
    <w:p w14:paraId="43753AE2">
      <w:pPr>
        <w:numPr>
          <w:ilvl w:val="0"/>
          <w:numId w:val="52"/>
        </w:numPr>
        <w:spacing w:line="276" w:lineRule="auto"/>
        <w:rPr>
          <w:rFonts w:ascii="宋体" w:hAnsi="宋体" w:eastAsia="宋体" w:cs="Times New Roman"/>
          <w:sz w:val="24"/>
          <w:szCs w:val="24"/>
        </w:rPr>
      </w:pPr>
      <w:r>
        <w:rPr>
          <w:rFonts w:hint="eastAsia" w:ascii="宋体" w:hAnsi="宋体" w:eastAsia="宋体" w:cs="宋体"/>
          <w:sz w:val="24"/>
          <w:szCs w:val="24"/>
        </w:rPr>
        <w:t>检测冷媒饱和温度传感器</w:t>
      </w:r>
    </w:p>
    <w:p w14:paraId="17EA3BCD">
      <w:pPr>
        <w:spacing w:line="276" w:lineRule="auto"/>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宋体"/>
          <w:sz w:val="24"/>
          <w:szCs w:val="24"/>
        </w:rPr>
        <w:t>、抽气系统</w:t>
      </w:r>
    </w:p>
    <w:p w14:paraId="56384C1E">
      <w:pPr>
        <w:numPr>
          <w:ilvl w:val="0"/>
          <w:numId w:val="53"/>
        </w:numPr>
        <w:spacing w:line="276" w:lineRule="auto"/>
        <w:rPr>
          <w:rFonts w:ascii="宋体" w:hAnsi="宋体" w:eastAsia="宋体" w:cs="Times New Roman"/>
          <w:sz w:val="24"/>
          <w:szCs w:val="24"/>
        </w:rPr>
      </w:pPr>
      <w:r>
        <w:rPr>
          <w:rFonts w:hint="eastAsia" w:ascii="宋体" w:hAnsi="宋体" w:eastAsia="宋体" w:cs="宋体"/>
          <w:sz w:val="24"/>
          <w:szCs w:val="24"/>
        </w:rPr>
        <w:t>检测电磁阀</w:t>
      </w:r>
    </w:p>
    <w:p w14:paraId="0F2EC461">
      <w:pPr>
        <w:numPr>
          <w:ilvl w:val="0"/>
          <w:numId w:val="53"/>
        </w:numPr>
        <w:spacing w:line="276" w:lineRule="auto"/>
        <w:rPr>
          <w:rFonts w:ascii="宋体" w:hAnsi="宋体" w:eastAsia="宋体" w:cs="Times New Roman"/>
          <w:sz w:val="24"/>
          <w:szCs w:val="24"/>
        </w:rPr>
      </w:pPr>
      <w:r>
        <w:rPr>
          <w:rFonts w:hint="eastAsia" w:ascii="宋体" w:hAnsi="宋体" w:eastAsia="宋体" w:cs="宋体"/>
          <w:sz w:val="24"/>
          <w:szCs w:val="24"/>
        </w:rPr>
        <w:t>清洁冷凝盘管铝鳍片</w:t>
      </w:r>
    </w:p>
    <w:p w14:paraId="0CED07B8">
      <w:pPr>
        <w:numPr>
          <w:ilvl w:val="0"/>
          <w:numId w:val="53"/>
        </w:numPr>
        <w:spacing w:line="276" w:lineRule="auto"/>
        <w:rPr>
          <w:rFonts w:ascii="宋体" w:hAnsi="宋体" w:eastAsia="宋体" w:cs="Times New Roman"/>
          <w:sz w:val="24"/>
          <w:szCs w:val="24"/>
        </w:rPr>
      </w:pPr>
      <w:r>
        <w:rPr>
          <w:rFonts w:hint="eastAsia" w:ascii="宋体" w:hAnsi="宋体" w:eastAsia="宋体" w:cs="宋体"/>
          <w:sz w:val="24"/>
          <w:szCs w:val="24"/>
        </w:rPr>
        <w:t>检测马达之绝缘阻抗</w:t>
      </w:r>
    </w:p>
    <w:p w14:paraId="5D8044D6">
      <w:pPr>
        <w:numPr>
          <w:ilvl w:val="0"/>
          <w:numId w:val="53"/>
        </w:numPr>
        <w:spacing w:line="276" w:lineRule="auto"/>
        <w:rPr>
          <w:rFonts w:ascii="宋体" w:hAnsi="宋体" w:eastAsia="宋体" w:cs="Times New Roman"/>
          <w:sz w:val="24"/>
          <w:szCs w:val="24"/>
        </w:rPr>
      </w:pPr>
      <w:r>
        <w:rPr>
          <w:rFonts w:hint="eastAsia" w:ascii="宋体" w:hAnsi="宋体" w:eastAsia="宋体" w:cs="宋体"/>
          <w:sz w:val="24"/>
          <w:szCs w:val="24"/>
        </w:rPr>
        <w:t>抽气系统整组清洁除垢</w:t>
      </w:r>
    </w:p>
    <w:p w14:paraId="4E866786">
      <w:pPr>
        <w:numPr>
          <w:ilvl w:val="0"/>
          <w:numId w:val="53"/>
        </w:numPr>
        <w:spacing w:line="276" w:lineRule="auto"/>
        <w:rPr>
          <w:rFonts w:ascii="宋体" w:hAnsi="宋体" w:eastAsia="宋体" w:cs="Times New Roman"/>
          <w:sz w:val="24"/>
          <w:szCs w:val="24"/>
        </w:rPr>
      </w:pPr>
      <w:r>
        <w:rPr>
          <w:rFonts w:hint="eastAsia" w:ascii="宋体" w:hAnsi="宋体" w:eastAsia="宋体" w:cs="宋体"/>
          <w:sz w:val="24"/>
          <w:szCs w:val="24"/>
        </w:rPr>
        <w:t>检测排气是否正常</w:t>
      </w:r>
    </w:p>
    <w:p w14:paraId="41C3A203">
      <w:pPr>
        <w:numPr>
          <w:ilvl w:val="0"/>
          <w:numId w:val="53"/>
        </w:numPr>
        <w:spacing w:line="276" w:lineRule="auto"/>
        <w:rPr>
          <w:rFonts w:ascii="宋体" w:hAnsi="宋体" w:eastAsia="宋体" w:cs="Times New Roman"/>
          <w:sz w:val="24"/>
          <w:szCs w:val="24"/>
        </w:rPr>
      </w:pPr>
      <w:r>
        <w:rPr>
          <w:rFonts w:hint="eastAsia" w:ascii="宋体" w:hAnsi="宋体" w:eastAsia="宋体" w:cs="宋体"/>
          <w:sz w:val="24"/>
          <w:szCs w:val="24"/>
        </w:rPr>
        <w:t>检测冷媒水份指示器</w:t>
      </w:r>
    </w:p>
    <w:p w14:paraId="699FF0FC">
      <w:pPr>
        <w:spacing w:line="276" w:lineRule="auto"/>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宋体"/>
          <w:sz w:val="24"/>
          <w:szCs w:val="24"/>
        </w:rPr>
        <w:t>、开机运转测试</w:t>
      </w:r>
    </w:p>
    <w:p w14:paraId="7879E518">
      <w:pPr>
        <w:numPr>
          <w:ilvl w:val="0"/>
          <w:numId w:val="54"/>
        </w:numPr>
        <w:spacing w:line="276" w:lineRule="auto"/>
        <w:rPr>
          <w:rFonts w:ascii="宋体" w:hAnsi="宋体" w:eastAsia="宋体" w:cs="Times New Roman"/>
          <w:sz w:val="24"/>
          <w:szCs w:val="24"/>
        </w:rPr>
      </w:pPr>
      <w:r>
        <w:rPr>
          <w:rFonts w:hint="eastAsia" w:ascii="宋体" w:hAnsi="宋体" w:eastAsia="宋体" w:cs="宋体"/>
          <w:sz w:val="24"/>
          <w:szCs w:val="24"/>
        </w:rPr>
        <w:t>检测马达线圈温度传感器</w:t>
      </w:r>
    </w:p>
    <w:p w14:paraId="0F396A5D">
      <w:pPr>
        <w:numPr>
          <w:ilvl w:val="0"/>
          <w:numId w:val="54"/>
        </w:numPr>
        <w:spacing w:line="276" w:lineRule="auto"/>
        <w:rPr>
          <w:rFonts w:ascii="宋体" w:hAnsi="宋体" w:eastAsia="宋体" w:cs="Times New Roman"/>
          <w:sz w:val="24"/>
          <w:szCs w:val="24"/>
        </w:rPr>
      </w:pPr>
      <w:r>
        <w:rPr>
          <w:rFonts w:hint="eastAsia" w:ascii="宋体" w:hAnsi="宋体" w:eastAsia="宋体" w:cs="宋体"/>
          <w:sz w:val="24"/>
          <w:szCs w:val="24"/>
        </w:rPr>
        <w:t>油槽窗口油位是否正常</w:t>
      </w:r>
    </w:p>
    <w:p w14:paraId="5A6EF468">
      <w:pPr>
        <w:numPr>
          <w:ilvl w:val="0"/>
          <w:numId w:val="54"/>
        </w:numPr>
        <w:spacing w:line="276" w:lineRule="auto"/>
        <w:rPr>
          <w:rFonts w:ascii="宋体" w:hAnsi="宋体" w:eastAsia="宋体" w:cs="Times New Roman"/>
          <w:sz w:val="24"/>
          <w:szCs w:val="24"/>
        </w:rPr>
      </w:pPr>
      <w:r>
        <w:rPr>
          <w:rFonts w:hint="eastAsia" w:ascii="宋体" w:hAnsi="宋体" w:eastAsia="宋体" w:cs="宋体"/>
          <w:sz w:val="24"/>
          <w:szCs w:val="24"/>
        </w:rPr>
        <w:t>从窗口检测抽气回收分离器，若有水份将其排除</w:t>
      </w:r>
    </w:p>
    <w:p w14:paraId="1A657E32">
      <w:pPr>
        <w:numPr>
          <w:ilvl w:val="0"/>
          <w:numId w:val="54"/>
        </w:numPr>
        <w:spacing w:line="276" w:lineRule="auto"/>
        <w:rPr>
          <w:rFonts w:ascii="宋体" w:hAnsi="宋体" w:eastAsia="宋体" w:cs="Times New Roman"/>
          <w:sz w:val="24"/>
          <w:szCs w:val="24"/>
        </w:rPr>
      </w:pPr>
      <w:r>
        <w:rPr>
          <w:rFonts w:hint="eastAsia" w:ascii="宋体" w:hAnsi="宋体" w:eastAsia="宋体" w:cs="宋体"/>
          <w:sz w:val="24"/>
          <w:szCs w:val="24"/>
        </w:rPr>
        <w:t>检测不正常之噪音，振动及高温</w:t>
      </w:r>
    </w:p>
    <w:p w14:paraId="7C9C057C">
      <w:pPr>
        <w:numPr>
          <w:ilvl w:val="0"/>
          <w:numId w:val="54"/>
        </w:numPr>
        <w:spacing w:line="276" w:lineRule="auto"/>
        <w:rPr>
          <w:rFonts w:ascii="宋体" w:hAnsi="宋体" w:eastAsia="宋体" w:cs="Times New Roman"/>
          <w:sz w:val="24"/>
          <w:szCs w:val="24"/>
        </w:rPr>
      </w:pPr>
      <w:r>
        <w:rPr>
          <w:rFonts w:hint="eastAsia" w:ascii="宋体" w:hAnsi="宋体" w:eastAsia="宋体" w:cs="宋体"/>
          <w:sz w:val="24"/>
          <w:szCs w:val="24"/>
        </w:rPr>
        <w:t>检测及报告损坏之零件</w:t>
      </w:r>
    </w:p>
    <w:p w14:paraId="67E83478">
      <w:pPr>
        <w:numPr>
          <w:ilvl w:val="0"/>
          <w:numId w:val="54"/>
        </w:numPr>
        <w:spacing w:line="276" w:lineRule="auto"/>
        <w:rPr>
          <w:rFonts w:ascii="宋体" w:hAnsi="宋体" w:eastAsia="宋体" w:cs="Times New Roman"/>
          <w:sz w:val="24"/>
          <w:szCs w:val="24"/>
        </w:rPr>
      </w:pPr>
      <w:r>
        <w:rPr>
          <w:rFonts w:hint="eastAsia" w:ascii="宋体" w:hAnsi="宋体" w:eastAsia="宋体" w:cs="宋体"/>
          <w:sz w:val="24"/>
          <w:szCs w:val="24"/>
        </w:rPr>
        <w:t>检测及报告其操作状况、</w:t>
      </w:r>
    </w:p>
    <w:p w14:paraId="006339B3">
      <w:pPr>
        <w:spacing w:line="276" w:lineRule="auto"/>
        <w:rPr>
          <w:rFonts w:ascii="宋体" w:hAnsi="宋体" w:eastAsia="宋体" w:cs="Times New Roman"/>
          <w:sz w:val="24"/>
          <w:szCs w:val="24"/>
        </w:rPr>
      </w:pPr>
      <w:r>
        <w:rPr>
          <w:rFonts w:hint="eastAsia" w:ascii="宋体" w:hAnsi="宋体" w:eastAsia="宋体" w:cs="宋体"/>
          <w:sz w:val="24"/>
          <w:szCs w:val="24"/>
        </w:rPr>
        <w:t>备注：详细的服务内容和结果可请参考保养时的检查记录表。</w:t>
      </w:r>
    </w:p>
    <w:p w14:paraId="5FE7CC49">
      <w:pPr>
        <w:spacing w:line="276" w:lineRule="auto"/>
        <w:rPr>
          <w:rFonts w:ascii="宋体" w:hAnsi="宋体" w:eastAsia="宋体" w:cs="宋体"/>
          <w:sz w:val="24"/>
          <w:szCs w:val="24"/>
        </w:rPr>
      </w:pPr>
    </w:p>
    <w:p w14:paraId="536458DA">
      <w:pPr>
        <w:spacing w:line="276" w:lineRule="auto"/>
        <w:rPr>
          <w:rFonts w:ascii="宋体" w:hAnsi="宋体" w:eastAsia="宋体" w:cs="宋体"/>
          <w:b/>
          <w:bCs/>
          <w:sz w:val="24"/>
          <w:szCs w:val="24"/>
        </w:rPr>
      </w:pPr>
      <w:r>
        <w:rPr>
          <w:rFonts w:hint="eastAsia" w:ascii="宋体" w:hAnsi="宋体" w:eastAsia="宋体" w:cs="宋体"/>
          <w:b/>
          <w:bCs/>
          <w:sz w:val="24"/>
          <w:szCs w:val="24"/>
        </w:rPr>
        <w:t>附件二：</w:t>
      </w:r>
      <w:r>
        <w:rPr>
          <w:rFonts w:ascii="宋体" w:hAnsi="宋体" w:eastAsia="宋体" w:cs="宋体"/>
          <w:b/>
          <w:bCs/>
          <w:sz w:val="24"/>
          <w:szCs w:val="24"/>
        </w:rPr>
        <w:t>TRANE RTAA/RTXA+机组保养程序</w:t>
      </w:r>
    </w:p>
    <w:p w14:paraId="2D6FFB70">
      <w:pPr>
        <w:spacing w:line="276" w:lineRule="auto"/>
        <w:rPr>
          <w:rFonts w:ascii="宋体" w:hAnsi="宋体" w:eastAsia="宋体" w:cs="宋体"/>
          <w:b/>
          <w:bCs/>
          <w:sz w:val="24"/>
          <w:szCs w:val="24"/>
        </w:rPr>
      </w:pPr>
      <w:bookmarkStart w:id="5" w:name="_Hlk136329518"/>
      <w:r>
        <w:rPr>
          <w:rFonts w:hint="eastAsia" w:ascii="宋体" w:hAnsi="宋体" w:eastAsia="宋体" w:cs="宋体"/>
          <w:b/>
          <w:bCs/>
          <w:sz w:val="24"/>
          <w:szCs w:val="24"/>
        </w:rPr>
        <w:t>应急服务：</w:t>
      </w:r>
    </w:p>
    <w:p w14:paraId="692B72C5">
      <w:pPr>
        <w:numPr>
          <w:ilvl w:val="0"/>
          <w:numId w:val="55"/>
        </w:numPr>
        <w:tabs>
          <w:tab w:val="left" w:pos="426"/>
        </w:tabs>
        <w:spacing w:line="276" w:lineRule="auto"/>
        <w:rPr>
          <w:rFonts w:ascii="宋体" w:hAnsi="宋体" w:eastAsia="宋体" w:cs="宋体"/>
          <w:sz w:val="24"/>
          <w:szCs w:val="24"/>
        </w:rPr>
      </w:pPr>
      <w:r>
        <w:rPr>
          <w:rFonts w:hint="eastAsia" w:ascii="宋体" w:hAnsi="宋体" w:eastAsia="宋体" w:cs="宋体"/>
          <w:sz w:val="24"/>
          <w:szCs w:val="24"/>
        </w:rPr>
        <w:t>提供设备故障紧急咨询服务</w:t>
      </w:r>
    </w:p>
    <w:p w14:paraId="0B9B4D43">
      <w:pPr>
        <w:numPr>
          <w:ilvl w:val="0"/>
          <w:numId w:val="55"/>
        </w:numPr>
        <w:tabs>
          <w:tab w:val="left" w:pos="426"/>
        </w:tabs>
        <w:spacing w:line="276" w:lineRule="auto"/>
        <w:ind w:left="426" w:hanging="426"/>
        <w:rPr>
          <w:rFonts w:ascii="宋体" w:hAnsi="宋体" w:eastAsia="宋体" w:cs="宋体"/>
          <w:sz w:val="24"/>
          <w:szCs w:val="24"/>
        </w:rPr>
      </w:pPr>
      <w:r>
        <w:rPr>
          <w:rFonts w:hint="eastAsia" w:ascii="宋体" w:hAnsi="宋体" w:eastAsia="宋体" w:cs="宋体"/>
          <w:sz w:val="24"/>
          <w:szCs w:val="24"/>
        </w:rPr>
        <w:t>接到用户通知后，提供设备故障排除服务</w:t>
      </w:r>
    </w:p>
    <w:bookmarkEnd w:id="5"/>
    <w:p w14:paraId="6A7E463E">
      <w:pPr>
        <w:spacing w:line="276" w:lineRule="auto"/>
        <w:rPr>
          <w:rFonts w:ascii="宋体" w:hAnsi="宋体" w:eastAsia="宋体" w:cs="宋体"/>
          <w:b/>
          <w:bCs/>
          <w:sz w:val="24"/>
          <w:szCs w:val="24"/>
        </w:rPr>
      </w:pPr>
      <w:r>
        <w:rPr>
          <w:rFonts w:hint="eastAsia" w:ascii="宋体" w:hAnsi="宋体" w:eastAsia="宋体" w:cs="宋体"/>
          <w:b/>
          <w:bCs/>
          <w:sz w:val="24"/>
          <w:szCs w:val="24"/>
        </w:rPr>
        <w:t>风冷机组月度保养：</w:t>
      </w:r>
    </w:p>
    <w:p w14:paraId="11006D86">
      <w:pPr>
        <w:spacing w:line="276" w:lineRule="auto"/>
        <w:rPr>
          <w:rFonts w:ascii="宋体" w:hAnsi="宋体" w:eastAsia="宋体" w:cs="宋体"/>
          <w:sz w:val="24"/>
          <w:szCs w:val="24"/>
        </w:rPr>
      </w:pPr>
      <w:r>
        <w:rPr>
          <w:rFonts w:ascii="宋体" w:hAnsi="宋体" w:eastAsia="宋体" w:cs="宋体"/>
          <w:sz w:val="24"/>
          <w:szCs w:val="24"/>
        </w:rPr>
        <w:t>1、对下列各项每月检查维修一次</w:t>
      </w:r>
    </w:p>
    <w:p w14:paraId="5A08AE3B">
      <w:pPr>
        <w:widowControl/>
        <w:numPr>
          <w:ilvl w:val="0"/>
          <w:numId w:val="56"/>
        </w:numPr>
        <w:spacing w:line="276" w:lineRule="auto"/>
        <w:jc w:val="left"/>
        <w:rPr>
          <w:rFonts w:ascii="宋体" w:hAnsi="宋体" w:eastAsia="宋体" w:cs="宋体"/>
          <w:sz w:val="24"/>
          <w:szCs w:val="24"/>
        </w:rPr>
      </w:pPr>
      <w:r>
        <w:rPr>
          <w:rFonts w:hint="eastAsia" w:ascii="宋体" w:hAnsi="宋体" w:eastAsia="宋体" w:cs="宋体"/>
          <w:sz w:val="24"/>
          <w:szCs w:val="24"/>
        </w:rPr>
        <w:t>及时处理日常运行出现的故障，确保设备正常运行；</w:t>
      </w:r>
    </w:p>
    <w:p w14:paraId="13C16A98">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检查压缩机油位、油温、油压；</w:t>
      </w:r>
    </w:p>
    <w:p w14:paraId="502F8366">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检查冷凝器及蒸发器压力，冷凝器及蒸发器的温度；</w:t>
      </w:r>
    </w:p>
    <w:p w14:paraId="6D755B78">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运转机组，检查操作状况；</w:t>
      </w:r>
    </w:p>
    <w:p w14:paraId="7FA0B51B">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检查控制电路、控制电气元件、继电器及保险丝；</w:t>
      </w:r>
    </w:p>
    <w:p w14:paraId="6A10EACC">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检查冷媒运行情况及排气装置，检查机组有无空气和水泄漏点；</w:t>
      </w:r>
    </w:p>
    <w:p w14:paraId="72967FC1">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检查不正常的声响和震动；</w:t>
      </w:r>
    </w:p>
    <w:p w14:paraId="1036135B">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检查控制屏、接触器及保护元件；</w:t>
      </w:r>
    </w:p>
    <w:p w14:paraId="27004AEB">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检查阀门及导叶控制联动装置；</w:t>
      </w:r>
    </w:p>
    <w:p w14:paraId="057F6364">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提交每月检查报告及每季维修报告。</w:t>
      </w:r>
    </w:p>
    <w:p w14:paraId="5315C24E">
      <w:pPr>
        <w:widowControl/>
        <w:numPr>
          <w:ilvl w:val="0"/>
          <w:numId w:val="56"/>
        </w:numPr>
        <w:spacing w:line="276" w:lineRule="auto"/>
        <w:ind w:left="284" w:firstLine="141" w:firstLineChars="59"/>
        <w:jc w:val="left"/>
        <w:rPr>
          <w:rFonts w:ascii="宋体" w:hAnsi="宋体" w:eastAsia="宋体" w:cs="宋体"/>
          <w:sz w:val="24"/>
          <w:szCs w:val="24"/>
        </w:rPr>
      </w:pPr>
      <w:r>
        <w:rPr>
          <w:rFonts w:hint="eastAsia" w:ascii="宋体" w:hAnsi="宋体" w:eastAsia="宋体" w:cs="宋体"/>
          <w:sz w:val="24"/>
          <w:szCs w:val="24"/>
        </w:rPr>
        <w:t>清洗冷凝器，使之保持最佳工作状态</w:t>
      </w:r>
    </w:p>
    <w:p w14:paraId="0A447898">
      <w:pPr>
        <w:spacing w:line="276" w:lineRule="auto"/>
        <w:rPr>
          <w:rFonts w:ascii="宋体" w:hAnsi="宋体" w:eastAsia="宋体" w:cs="宋体"/>
          <w:sz w:val="24"/>
          <w:szCs w:val="24"/>
        </w:rPr>
      </w:pPr>
      <w:r>
        <w:rPr>
          <w:rFonts w:ascii="宋体" w:hAnsi="宋体" w:eastAsia="宋体" w:cs="宋体"/>
          <w:sz w:val="24"/>
          <w:szCs w:val="24"/>
        </w:rPr>
        <w:t>2、每年年终全面检查维修一次</w:t>
      </w:r>
    </w:p>
    <w:p w14:paraId="479E3BCA">
      <w:pPr>
        <w:widowControl/>
        <w:numPr>
          <w:ilvl w:val="0"/>
          <w:numId w:val="57"/>
        </w:numPr>
        <w:spacing w:line="276" w:lineRule="auto"/>
        <w:jc w:val="left"/>
        <w:rPr>
          <w:rFonts w:ascii="宋体" w:hAnsi="宋体" w:eastAsia="宋体" w:cs="宋体"/>
          <w:sz w:val="24"/>
          <w:szCs w:val="24"/>
        </w:rPr>
      </w:pPr>
      <w:r>
        <w:rPr>
          <w:rFonts w:hint="eastAsia" w:ascii="宋体" w:hAnsi="宋体" w:eastAsia="宋体" w:cs="宋体"/>
          <w:sz w:val="24"/>
          <w:szCs w:val="24"/>
        </w:rPr>
        <w:t>系统探漏、排气装置维修；</w:t>
      </w:r>
    </w:p>
    <w:p w14:paraId="53274752">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检查及根据油样分析，更换压缩机机油；</w:t>
      </w:r>
    </w:p>
    <w:p w14:paraId="3871F8B6">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检查及更换干燥过滤器；</w:t>
      </w:r>
    </w:p>
    <w:p w14:paraId="424B7750">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检查压缩机马达绝缘；</w:t>
      </w:r>
    </w:p>
    <w:p w14:paraId="0BA55CA7">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检查安全保护元件、继电器及接触器；</w:t>
      </w:r>
    </w:p>
    <w:p w14:paraId="1D5241B3">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检查压缩机运转情况；</w:t>
      </w:r>
    </w:p>
    <w:p w14:paraId="5F093F77">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检查清理电子控制屏、接触器及保护元件；</w:t>
      </w:r>
    </w:p>
    <w:p w14:paraId="1D24B6B4">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检查冷媒运行，冷凝器及蒸发器的温度及压力；</w:t>
      </w:r>
    </w:p>
    <w:p w14:paraId="0D27C172">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检查冷凝器及蒸发器有无水管泄漏，排管是否清洁，如需要，清洗冷凝管；</w:t>
      </w:r>
    </w:p>
    <w:p w14:paraId="71F91131">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检查不正常的声响及震动；</w:t>
      </w:r>
    </w:p>
    <w:p w14:paraId="25939EF2">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运行制冷机组，检查操作状况，冬季停机时期维护保养；</w:t>
      </w:r>
    </w:p>
    <w:p w14:paraId="7729E260">
      <w:pPr>
        <w:widowControl/>
        <w:numPr>
          <w:ilvl w:val="0"/>
          <w:numId w:val="57"/>
        </w:numPr>
        <w:spacing w:line="276" w:lineRule="auto"/>
        <w:ind w:left="360" w:firstLine="64" w:firstLineChars="27"/>
        <w:jc w:val="left"/>
        <w:rPr>
          <w:rFonts w:ascii="宋体" w:hAnsi="宋体" w:eastAsia="宋体" w:cs="宋体"/>
          <w:sz w:val="24"/>
          <w:szCs w:val="24"/>
        </w:rPr>
      </w:pPr>
      <w:r>
        <w:rPr>
          <w:rFonts w:hint="eastAsia" w:ascii="宋体" w:hAnsi="宋体" w:eastAsia="宋体" w:cs="宋体"/>
          <w:sz w:val="24"/>
          <w:szCs w:val="24"/>
        </w:rPr>
        <w:t>提交年终检查维修情况报告。</w:t>
      </w:r>
    </w:p>
    <w:p w14:paraId="08F813E2">
      <w:pPr>
        <w:tabs>
          <w:tab w:val="left" w:pos="-450"/>
        </w:tabs>
        <w:spacing w:line="276" w:lineRule="auto"/>
        <w:rPr>
          <w:rFonts w:ascii="宋体" w:hAnsi="宋体" w:eastAsia="宋体" w:cs="宋体"/>
          <w:sz w:val="24"/>
          <w:szCs w:val="24"/>
        </w:rPr>
      </w:pPr>
      <w:r>
        <w:rPr>
          <w:rFonts w:hint="eastAsia" w:ascii="宋体" w:hAnsi="宋体" w:eastAsia="宋体" w:cs="宋体"/>
          <w:sz w:val="24"/>
          <w:szCs w:val="24"/>
        </w:rPr>
        <w:t>备注：详细的服务内容和结果可请参考保养时的检查记录表。</w:t>
      </w:r>
    </w:p>
    <w:p w14:paraId="158B1B4D">
      <w:pPr>
        <w:tabs>
          <w:tab w:val="left" w:pos="-450"/>
        </w:tabs>
        <w:spacing w:line="276" w:lineRule="auto"/>
        <w:rPr>
          <w:rFonts w:ascii="宋体" w:hAnsi="宋体" w:eastAsia="宋体" w:cs="宋体"/>
          <w:sz w:val="24"/>
          <w:szCs w:val="24"/>
        </w:rPr>
      </w:pPr>
    </w:p>
    <w:p w14:paraId="2D690092">
      <w:pPr>
        <w:spacing w:line="276" w:lineRule="auto"/>
        <w:rPr>
          <w:rFonts w:ascii="宋体" w:hAnsi="宋体" w:eastAsia="宋体" w:cs="宋体"/>
          <w:b/>
          <w:bCs/>
          <w:sz w:val="24"/>
          <w:szCs w:val="24"/>
        </w:rPr>
      </w:pPr>
      <w:r>
        <w:rPr>
          <w:rFonts w:hint="eastAsia" w:ascii="宋体" w:hAnsi="宋体" w:eastAsia="宋体" w:cs="宋体"/>
          <w:b/>
          <w:bCs/>
          <w:sz w:val="24"/>
          <w:szCs w:val="24"/>
        </w:rPr>
        <w:t>附件三：螺杆机组保养程序</w:t>
      </w:r>
    </w:p>
    <w:p w14:paraId="458AAE0E">
      <w:pPr>
        <w:spacing w:line="276" w:lineRule="auto"/>
        <w:rPr>
          <w:rFonts w:ascii="宋体" w:hAnsi="宋体" w:eastAsia="宋体" w:cs="Times New Roman"/>
          <w:b/>
          <w:bCs/>
          <w:sz w:val="24"/>
          <w:szCs w:val="24"/>
        </w:rPr>
      </w:pPr>
      <w:r>
        <w:rPr>
          <w:rFonts w:ascii="宋体" w:hAnsi="宋体" w:eastAsia="宋体" w:cs="Times New Roman"/>
          <w:b/>
          <w:bCs/>
          <w:sz w:val="24"/>
          <w:szCs w:val="24"/>
        </w:rPr>
        <w:t>A</w:t>
      </w:r>
      <w:r>
        <w:rPr>
          <w:rFonts w:hint="eastAsia" w:ascii="宋体" w:hAnsi="宋体" w:eastAsia="宋体" w:cs="Times New Roman"/>
          <w:b/>
          <w:bCs/>
          <w:sz w:val="24"/>
          <w:szCs w:val="24"/>
        </w:rPr>
        <w:t>、</w:t>
      </w:r>
    </w:p>
    <w:p w14:paraId="7F2B88D4">
      <w:pPr>
        <w:spacing w:line="276" w:lineRule="auto"/>
        <w:rPr>
          <w:rFonts w:ascii="宋体" w:hAnsi="宋体" w:eastAsia="宋体" w:cs="Times New Roman"/>
          <w:b/>
          <w:bCs/>
          <w:sz w:val="24"/>
          <w:szCs w:val="24"/>
        </w:rPr>
      </w:pPr>
      <w:r>
        <w:rPr>
          <w:rFonts w:hint="eastAsia" w:ascii="宋体" w:hAnsi="宋体" w:eastAsia="宋体" w:cs="Times New Roman"/>
          <w:b/>
          <w:bCs/>
          <w:sz w:val="24"/>
          <w:szCs w:val="24"/>
        </w:rPr>
        <w:t>应急服务：</w:t>
      </w:r>
    </w:p>
    <w:p w14:paraId="0E960955">
      <w:pPr>
        <w:spacing w:line="276" w:lineRule="auto"/>
        <w:rPr>
          <w:rFonts w:ascii="宋体" w:hAnsi="宋体" w:eastAsia="宋体" w:cs="Times New Roman"/>
          <w:sz w:val="24"/>
          <w:szCs w:val="24"/>
        </w:rPr>
      </w:pPr>
      <w:r>
        <w:rPr>
          <w:rFonts w:ascii="宋体" w:hAnsi="宋体" w:eastAsia="宋体" w:cs="Times New Roman"/>
          <w:sz w:val="24"/>
          <w:szCs w:val="24"/>
        </w:rPr>
        <w:t>1.</w:t>
      </w:r>
      <w:r>
        <w:rPr>
          <w:rFonts w:ascii="宋体" w:hAnsi="宋体" w:eastAsia="宋体" w:cs="Times New Roman"/>
          <w:sz w:val="24"/>
          <w:szCs w:val="24"/>
        </w:rPr>
        <w:tab/>
      </w:r>
      <w:r>
        <w:rPr>
          <w:rFonts w:ascii="宋体" w:hAnsi="宋体" w:eastAsia="宋体" w:cs="Times New Roman"/>
          <w:sz w:val="24"/>
          <w:szCs w:val="24"/>
        </w:rPr>
        <w:t>提供设备故障紧急咨询服务</w:t>
      </w:r>
    </w:p>
    <w:p w14:paraId="028AEBD6">
      <w:pPr>
        <w:spacing w:line="276" w:lineRule="auto"/>
        <w:rPr>
          <w:rFonts w:ascii="宋体" w:hAnsi="宋体" w:eastAsia="宋体" w:cs="Times New Roman"/>
          <w:b/>
          <w:bCs/>
          <w:sz w:val="24"/>
          <w:szCs w:val="24"/>
        </w:rPr>
      </w:pPr>
      <w:r>
        <w:rPr>
          <w:rFonts w:ascii="宋体" w:hAnsi="宋体" w:eastAsia="宋体" w:cs="Times New Roman"/>
          <w:sz w:val="24"/>
          <w:szCs w:val="24"/>
        </w:rPr>
        <w:t>2.</w:t>
      </w:r>
      <w:r>
        <w:rPr>
          <w:rFonts w:ascii="宋体" w:hAnsi="宋体" w:eastAsia="宋体" w:cs="Times New Roman"/>
          <w:sz w:val="24"/>
          <w:szCs w:val="24"/>
        </w:rPr>
        <w:tab/>
      </w:r>
      <w:r>
        <w:rPr>
          <w:rFonts w:ascii="宋体" w:hAnsi="宋体" w:eastAsia="宋体" w:cs="Times New Roman"/>
          <w:sz w:val="24"/>
          <w:szCs w:val="24"/>
        </w:rPr>
        <w:t>接到用户通知后，提供设备故障排除服务</w:t>
      </w:r>
    </w:p>
    <w:p w14:paraId="7753CCD5">
      <w:pPr>
        <w:spacing w:line="276" w:lineRule="auto"/>
        <w:rPr>
          <w:rFonts w:ascii="宋体" w:hAnsi="宋体" w:eastAsia="宋体" w:cs="Times New Roman"/>
          <w:b/>
          <w:bCs/>
          <w:sz w:val="24"/>
          <w:szCs w:val="24"/>
        </w:rPr>
      </w:pPr>
      <w:r>
        <w:rPr>
          <w:rFonts w:ascii="宋体" w:hAnsi="宋体" w:eastAsia="宋体" w:cs="Times New Roman"/>
          <w:b/>
          <w:bCs/>
          <w:sz w:val="24"/>
          <w:szCs w:val="24"/>
        </w:rPr>
        <w:t>B</w:t>
      </w:r>
      <w:r>
        <w:rPr>
          <w:rFonts w:hint="eastAsia" w:ascii="宋体" w:hAnsi="宋体" w:eastAsia="宋体" w:cs="Times New Roman"/>
          <w:b/>
          <w:bCs/>
          <w:sz w:val="24"/>
          <w:szCs w:val="24"/>
        </w:rPr>
        <w:t>、在机组运行期间常规保养</w:t>
      </w:r>
    </w:p>
    <w:p w14:paraId="72534798">
      <w:pPr>
        <w:spacing w:line="276"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、压缩机马达</w:t>
      </w:r>
    </w:p>
    <w:p w14:paraId="3C320B1C">
      <w:pPr>
        <w:numPr>
          <w:ilvl w:val="0"/>
          <w:numId w:val="58"/>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检测及收紧所有之马达电源端子</w:t>
      </w:r>
    </w:p>
    <w:p w14:paraId="6A2F7FFA">
      <w:pPr>
        <w:numPr>
          <w:ilvl w:val="0"/>
          <w:numId w:val="58"/>
        </w:numPr>
        <w:spacing w:line="276" w:lineRule="auto"/>
        <w:ind w:left="476" w:hanging="357"/>
        <w:rPr>
          <w:rFonts w:ascii="宋体" w:hAnsi="宋体" w:eastAsia="宋体" w:cs="Times New Roman"/>
          <w:sz w:val="24"/>
          <w:szCs w:val="24"/>
        </w:rPr>
      </w:pPr>
      <w:r>
        <w:rPr>
          <w:rFonts w:hint="eastAsia" w:ascii="宋体" w:hAnsi="宋体" w:eastAsia="宋体" w:cs="Times New Roman"/>
          <w:sz w:val="24"/>
          <w:szCs w:val="24"/>
        </w:rPr>
        <w:t>检测马达线圈温度传感器欧姆值</w:t>
      </w:r>
    </w:p>
    <w:p w14:paraId="4A50872E">
      <w:pPr>
        <w:numPr>
          <w:ilvl w:val="0"/>
          <w:numId w:val="58"/>
        </w:numPr>
        <w:spacing w:line="276" w:lineRule="auto"/>
        <w:ind w:left="476" w:hanging="357"/>
        <w:rPr>
          <w:rFonts w:ascii="宋体" w:hAnsi="宋体" w:eastAsia="宋体" w:cs="Times New Roman"/>
          <w:sz w:val="24"/>
          <w:szCs w:val="24"/>
        </w:rPr>
      </w:pPr>
      <w:r>
        <w:rPr>
          <w:rFonts w:hint="eastAsia" w:ascii="宋体" w:hAnsi="宋体" w:eastAsia="宋体" w:cs="Times New Roman"/>
          <w:sz w:val="24"/>
          <w:szCs w:val="24"/>
        </w:rPr>
        <w:t>提供设备对马达线组之绝缘阻抗测试</w:t>
      </w:r>
    </w:p>
    <w:p w14:paraId="1BB0F9AC">
      <w:pPr>
        <w:spacing w:line="276"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、马达起动控制箱</w:t>
      </w:r>
    </w:p>
    <w:p w14:paraId="38898589">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收紧所有之电源端子</w:t>
      </w:r>
    </w:p>
    <w:p w14:paraId="3BEA4438">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检测马达起动器的所有其它装置</w:t>
      </w:r>
    </w:p>
    <w:p w14:paraId="055B0ECD">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检测各接触器线路端子</w:t>
      </w:r>
    </w:p>
    <w:p w14:paraId="1D32E542">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对马达起动箱除垢并进行保护处理</w:t>
      </w:r>
    </w:p>
    <w:p w14:paraId="35692856">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检测马达接线端子温度</w:t>
      </w:r>
    </w:p>
    <w:p w14:paraId="71787B37">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检测各接触器接点</w:t>
      </w:r>
    </w:p>
    <w:p w14:paraId="2DCF195E">
      <w:pPr>
        <w:numPr>
          <w:ilvl w:val="0"/>
          <w:numId w:val="59"/>
        </w:numPr>
        <w:spacing w:line="276" w:lineRule="auto"/>
        <w:rPr>
          <w:rFonts w:ascii="宋体" w:hAnsi="宋体" w:eastAsia="宋体" w:cs="Times New Roman"/>
          <w:sz w:val="24"/>
          <w:szCs w:val="24"/>
        </w:rPr>
      </w:pPr>
      <w:r>
        <w:rPr>
          <w:rFonts w:hint="eastAsia" w:ascii="宋体" w:hAnsi="宋体" w:eastAsia="宋体" w:cs="Times New Roman"/>
          <w:sz w:val="24"/>
          <w:szCs w:val="24"/>
        </w:rPr>
        <w:t>保护性的处理各接触器接点</w:t>
      </w:r>
    </w:p>
    <w:p w14:paraId="70BCA307">
      <w:pPr>
        <w:spacing w:line="276" w:lineRule="auto"/>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、润滑系统</w:t>
      </w:r>
    </w:p>
    <w:p w14:paraId="309A8090">
      <w:pPr>
        <w:numPr>
          <w:ilvl w:val="0"/>
          <w:numId w:val="60"/>
        </w:numPr>
        <w:spacing w:line="276" w:lineRule="auto"/>
        <w:rPr>
          <w:rFonts w:ascii="宋体" w:hAnsi="宋体" w:eastAsia="宋体" w:cs="Times New Roman"/>
          <w:sz w:val="24"/>
          <w:szCs w:val="24"/>
        </w:rPr>
      </w:pPr>
      <w:r>
        <w:rPr>
          <w:rFonts w:hint="eastAsia" w:ascii="宋体" w:hAnsi="宋体" w:eastAsia="宋体" w:cs="Times New Roman"/>
          <w:sz w:val="24"/>
          <w:szCs w:val="24"/>
        </w:rPr>
        <w:t>检测油槽油位是否正常（运转中）</w:t>
      </w:r>
    </w:p>
    <w:p w14:paraId="0953E4E4">
      <w:pPr>
        <w:numPr>
          <w:ilvl w:val="0"/>
          <w:numId w:val="60"/>
        </w:numPr>
        <w:spacing w:line="276" w:lineRule="auto"/>
        <w:rPr>
          <w:rFonts w:ascii="宋体" w:hAnsi="宋体" w:eastAsia="宋体" w:cs="Times New Roman"/>
          <w:sz w:val="24"/>
          <w:szCs w:val="24"/>
        </w:rPr>
      </w:pPr>
      <w:r>
        <w:rPr>
          <w:rFonts w:hint="eastAsia" w:ascii="宋体" w:hAnsi="宋体" w:eastAsia="宋体" w:cs="Times New Roman"/>
          <w:sz w:val="24"/>
          <w:szCs w:val="24"/>
        </w:rPr>
        <w:t>检测油温控制传感器</w:t>
      </w:r>
    </w:p>
    <w:p w14:paraId="50ADC2FF">
      <w:pPr>
        <w:spacing w:line="276" w:lineRule="auto"/>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、控制及保护电路</w:t>
      </w:r>
    </w:p>
    <w:p w14:paraId="0B54CBA5">
      <w:pPr>
        <w:numPr>
          <w:ilvl w:val="0"/>
          <w:numId w:val="61"/>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检测及校正低温传感器</w:t>
      </w:r>
    </w:p>
    <w:p w14:paraId="714B167E">
      <w:pPr>
        <w:numPr>
          <w:ilvl w:val="0"/>
          <w:numId w:val="61"/>
        </w:numPr>
        <w:spacing w:line="276" w:lineRule="auto"/>
        <w:rPr>
          <w:rFonts w:ascii="宋体" w:hAnsi="宋体" w:eastAsia="宋体" w:cs="Times New Roman"/>
          <w:sz w:val="24"/>
          <w:szCs w:val="24"/>
        </w:rPr>
      </w:pPr>
      <w:r>
        <w:rPr>
          <w:rFonts w:hint="eastAsia" w:ascii="宋体" w:hAnsi="宋体" w:eastAsia="宋体" w:cs="Times New Roman"/>
          <w:sz w:val="24"/>
          <w:szCs w:val="24"/>
        </w:rPr>
        <w:t>检测及调整高压开关</w:t>
      </w:r>
    </w:p>
    <w:p w14:paraId="40F826BA">
      <w:pPr>
        <w:numPr>
          <w:ilvl w:val="0"/>
          <w:numId w:val="61"/>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检测及校正高压传感器（选择配备）</w:t>
      </w:r>
    </w:p>
    <w:p w14:paraId="3B2B2F95">
      <w:pPr>
        <w:numPr>
          <w:ilvl w:val="0"/>
          <w:numId w:val="61"/>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检测冷却水及冰水温度传感器</w:t>
      </w:r>
    </w:p>
    <w:p w14:paraId="49A10B98">
      <w:pPr>
        <w:numPr>
          <w:ilvl w:val="0"/>
          <w:numId w:val="61"/>
        </w:numPr>
        <w:spacing w:line="276" w:lineRule="auto"/>
        <w:rPr>
          <w:rFonts w:ascii="宋体" w:hAnsi="宋体" w:eastAsia="宋体" w:cs="Times New Roman"/>
          <w:sz w:val="24"/>
          <w:szCs w:val="24"/>
        </w:rPr>
      </w:pPr>
      <w:r>
        <w:rPr>
          <w:rFonts w:hint="eastAsia" w:ascii="宋体" w:hAnsi="宋体" w:eastAsia="宋体" w:cs="Times New Roman"/>
          <w:sz w:val="24"/>
          <w:szCs w:val="24"/>
        </w:rPr>
        <w:t>检测及调整冷却水及冷冻水流量开关</w:t>
      </w:r>
    </w:p>
    <w:p w14:paraId="33BDC5D0">
      <w:pPr>
        <w:spacing w:line="276" w:lineRule="auto"/>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、冷凝器</w:t>
      </w:r>
    </w:p>
    <w:p w14:paraId="3BAB36FB">
      <w:pPr>
        <w:numPr>
          <w:ilvl w:val="0"/>
          <w:numId w:val="62"/>
        </w:numPr>
        <w:spacing w:line="276" w:lineRule="auto"/>
        <w:rPr>
          <w:rFonts w:ascii="宋体" w:hAnsi="宋体" w:eastAsia="宋体" w:cs="Times New Roman"/>
          <w:sz w:val="24"/>
          <w:szCs w:val="24"/>
        </w:rPr>
      </w:pPr>
      <w:r>
        <w:rPr>
          <w:rFonts w:hint="eastAsia" w:ascii="宋体" w:hAnsi="宋体" w:eastAsia="宋体" w:cs="Times New Roman"/>
          <w:sz w:val="24"/>
          <w:szCs w:val="24"/>
        </w:rPr>
        <w:t>检测水及冷媒之温差并调整</w:t>
      </w:r>
    </w:p>
    <w:p w14:paraId="0ED4AC8C">
      <w:pPr>
        <w:numPr>
          <w:ilvl w:val="0"/>
          <w:numId w:val="62"/>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检测冷媒饱和温度传感器</w:t>
      </w:r>
    </w:p>
    <w:p w14:paraId="247467FF">
      <w:pPr>
        <w:numPr>
          <w:ilvl w:val="0"/>
          <w:numId w:val="62"/>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检测冷媒饱和压力传感器</w:t>
      </w:r>
    </w:p>
    <w:p w14:paraId="518897E7">
      <w:pPr>
        <w:spacing w:line="276" w:lineRule="auto"/>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、蒸发器</w:t>
      </w:r>
    </w:p>
    <w:p w14:paraId="5964EE67">
      <w:pPr>
        <w:numPr>
          <w:ilvl w:val="0"/>
          <w:numId w:val="63"/>
        </w:numPr>
        <w:spacing w:line="276" w:lineRule="auto"/>
        <w:rPr>
          <w:rFonts w:ascii="宋体" w:hAnsi="宋体" w:eastAsia="宋体" w:cs="Times New Roman"/>
          <w:sz w:val="24"/>
          <w:szCs w:val="24"/>
        </w:rPr>
      </w:pPr>
      <w:r>
        <w:rPr>
          <w:rFonts w:hint="eastAsia" w:ascii="宋体" w:hAnsi="宋体" w:eastAsia="宋体" w:cs="Times New Roman"/>
          <w:sz w:val="24"/>
          <w:szCs w:val="24"/>
        </w:rPr>
        <w:t>检测水及冷媒之温差并调整</w:t>
      </w:r>
    </w:p>
    <w:p w14:paraId="7A755CD0">
      <w:pPr>
        <w:numPr>
          <w:ilvl w:val="0"/>
          <w:numId w:val="63"/>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检测冷媒饱和温度传感器</w:t>
      </w:r>
    </w:p>
    <w:p w14:paraId="0B0E1A24">
      <w:pPr>
        <w:numPr>
          <w:ilvl w:val="0"/>
          <w:numId w:val="63"/>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检测及校正冷媒蒸发压力</w:t>
      </w:r>
    </w:p>
    <w:p w14:paraId="4B232239">
      <w:pPr>
        <w:spacing w:line="276" w:lineRule="auto"/>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、一般系统检查</w:t>
      </w:r>
    </w:p>
    <w:p w14:paraId="54193C1E">
      <w:pPr>
        <w:numPr>
          <w:ilvl w:val="0"/>
          <w:numId w:val="64"/>
        </w:numPr>
        <w:spacing w:line="276" w:lineRule="auto"/>
        <w:rPr>
          <w:rFonts w:ascii="宋体" w:hAnsi="宋体" w:eastAsia="宋体" w:cs="Times New Roman"/>
          <w:sz w:val="24"/>
          <w:szCs w:val="24"/>
        </w:rPr>
      </w:pPr>
      <w:r>
        <w:rPr>
          <w:rFonts w:hint="eastAsia" w:ascii="宋体" w:hAnsi="宋体" w:eastAsia="宋体" w:cs="Times New Roman"/>
          <w:sz w:val="24"/>
          <w:szCs w:val="24"/>
        </w:rPr>
        <w:t>检测</w:t>
      </w:r>
      <w:r>
        <w:rPr>
          <w:rFonts w:ascii="宋体" w:hAnsi="宋体" w:eastAsia="宋体" w:cs="Times New Roman"/>
          <w:sz w:val="24"/>
          <w:szCs w:val="24"/>
        </w:rPr>
        <w:t xml:space="preserve">SLIDE VALVE </w:t>
      </w:r>
      <w:r>
        <w:rPr>
          <w:rFonts w:hint="eastAsia" w:ascii="宋体" w:hAnsi="宋体" w:eastAsia="宋体" w:cs="Times New Roman"/>
          <w:sz w:val="24"/>
          <w:szCs w:val="24"/>
        </w:rPr>
        <w:t>之功能</w:t>
      </w:r>
    </w:p>
    <w:p w14:paraId="215FDF2B">
      <w:pPr>
        <w:numPr>
          <w:ilvl w:val="0"/>
          <w:numId w:val="64"/>
        </w:numPr>
        <w:spacing w:line="276" w:lineRule="auto"/>
        <w:rPr>
          <w:rFonts w:ascii="宋体" w:hAnsi="宋体" w:eastAsia="宋体" w:cs="Times New Roman"/>
          <w:sz w:val="24"/>
          <w:szCs w:val="24"/>
        </w:rPr>
      </w:pPr>
      <w:r>
        <w:rPr>
          <w:rFonts w:hint="eastAsia" w:ascii="宋体" w:hAnsi="宋体" w:eastAsia="宋体" w:cs="Times New Roman"/>
          <w:sz w:val="24"/>
          <w:szCs w:val="24"/>
        </w:rPr>
        <w:t>检测不正常之噪音，振动及高温</w:t>
      </w:r>
    </w:p>
    <w:p w14:paraId="7254DC1F">
      <w:pPr>
        <w:numPr>
          <w:ilvl w:val="0"/>
          <w:numId w:val="64"/>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检测及报告机组之温度计及压力表</w:t>
      </w:r>
      <w:r>
        <w:rPr>
          <w:rFonts w:ascii="宋体" w:hAnsi="宋体" w:eastAsia="宋体" w:cs="Times New Roman"/>
          <w:sz w:val="24"/>
          <w:szCs w:val="24"/>
        </w:rPr>
        <w:t>d.</w:t>
      </w:r>
      <w:r>
        <w:rPr>
          <w:rFonts w:hint="eastAsia" w:ascii="宋体" w:hAnsi="宋体" w:eastAsia="宋体" w:cs="Times New Roman"/>
          <w:sz w:val="24"/>
          <w:szCs w:val="24"/>
        </w:rPr>
        <w:t>运转主机，检查及报告其操作状况</w:t>
      </w:r>
      <w:r>
        <w:rPr>
          <w:rFonts w:ascii="宋体" w:hAnsi="宋体" w:eastAsia="宋体" w:cs="Times New Roman"/>
          <w:sz w:val="24"/>
          <w:szCs w:val="24"/>
        </w:rPr>
        <w:tab/>
      </w:r>
    </w:p>
    <w:p w14:paraId="779B3AB7">
      <w:pPr>
        <w:spacing w:line="276" w:lineRule="auto"/>
        <w:rPr>
          <w:rFonts w:ascii="宋体" w:hAnsi="宋体" w:eastAsia="宋体" w:cs="Times New Roman"/>
          <w:b/>
          <w:bCs/>
          <w:sz w:val="24"/>
          <w:szCs w:val="24"/>
        </w:rPr>
      </w:pPr>
      <w:r>
        <w:rPr>
          <w:rFonts w:hint="eastAsia" w:ascii="宋体" w:hAnsi="宋体" w:eastAsia="宋体" w:cs="Times New Roman"/>
          <w:b/>
          <w:bCs/>
          <w:sz w:val="24"/>
          <w:szCs w:val="24"/>
        </w:rPr>
        <w:t>年度保养服务项目（通常在机组冬季停机后或夏季开机前进行</w:t>
      </w:r>
      <w:r>
        <w:rPr>
          <w:rFonts w:ascii="宋体" w:hAnsi="宋体" w:eastAsia="宋体" w:cs="Times New Roman"/>
          <w:b/>
          <w:bCs/>
          <w:sz w:val="24"/>
          <w:szCs w:val="24"/>
        </w:rPr>
        <w:t>1</w:t>
      </w:r>
      <w:r>
        <w:rPr>
          <w:rFonts w:hint="eastAsia" w:ascii="宋体" w:hAnsi="宋体" w:eastAsia="宋体" w:cs="Times New Roman"/>
          <w:b/>
          <w:bCs/>
          <w:sz w:val="24"/>
          <w:szCs w:val="24"/>
        </w:rPr>
        <w:t>次</w:t>
      </w:r>
      <w:r>
        <w:rPr>
          <w:rFonts w:ascii="宋体" w:hAnsi="宋体" w:eastAsia="宋体" w:cs="Times New Roman"/>
          <w:b/>
          <w:bCs/>
          <w:sz w:val="24"/>
          <w:szCs w:val="24"/>
        </w:rPr>
        <w:t>)</w:t>
      </w:r>
    </w:p>
    <w:p w14:paraId="1FAF5670">
      <w:pPr>
        <w:spacing w:line="276"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、压缩机马达</w:t>
      </w:r>
    </w:p>
    <w:p w14:paraId="0DD8DC9C">
      <w:pPr>
        <w:numPr>
          <w:ilvl w:val="0"/>
          <w:numId w:val="65"/>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检测及收紧所有之马达电源端子</w:t>
      </w:r>
    </w:p>
    <w:p w14:paraId="1C9470BD">
      <w:pPr>
        <w:numPr>
          <w:ilvl w:val="0"/>
          <w:numId w:val="65"/>
        </w:numPr>
        <w:spacing w:line="276" w:lineRule="auto"/>
        <w:rPr>
          <w:rFonts w:ascii="宋体" w:hAnsi="宋体" w:eastAsia="宋体" w:cs="Times New Roman"/>
          <w:sz w:val="24"/>
          <w:szCs w:val="24"/>
        </w:rPr>
      </w:pPr>
      <w:r>
        <w:rPr>
          <w:rFonts w:hint="eastAsia" w:ascii="宋体" w:hAnsi="宋体" w:eastAsia="宋体" w:cs="Times New Roman"/>
          <w:sz w:val="24"/>
          <w:szCs w:val="24"/>
        </w:rPr>
        <w:t>检测马达线圈温度传感器欧姆值</w:t>
      </w:r>
    </w:p>
    <w:p w14:paraId="26E16E98">
      <w:pPr>
        <w:numPr>
          <w:ilvl w:val="0"/>
          <w:numId w:val="65"/>
        </w:numPr>
        <w:spacing w:line="276" w:lineRule="auto"/>
        <w:rPr>
          <w:rFonts w:ascii="宋体" w:hAnsi="宋体" w:eastAsia="宋体" w:cs="Times New Roman"/>
          <w:sz w:val="24"/>
          <w:szCs w:val="24"/>
        </w:rPr>
      </w:pPr>
      <w:r>
        <w:rPr>
          <w:rFonts w:hint="eastAsia" w:ascii="宋体" w:hAnsi="宋体" w:eastAsia="宋体" w:cs="Times New Roman"/>
          <w:sz w:val="24"/>
          <w:szCs w:val="24"/>
        </w:rPr>
        <w:t>提供设备对马达线组之绝缘阻抗测试</w:t>
      </w:r>
    </w:p>
    <w:p w14:paraId="78BAC73B">
      <w:pPr>
        <w:spacing w:line="276"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、马达起动控制箱</w:t>
      </w:r>
    </w:p>
    <w:p w14:paraId="1A140E8D">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收紧所有之电源端子</w:t>
      </w:r>
    </w:p>
    <w:p w14:paraId="2DC00A97">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检测马达起动器的所有其它装置</w:t>
      </w:r>
    </w:p>
    <w:p w14:paraId="622B2B3D">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检测各接触器线路端子</w:t>
      </w:r>
    </w:p>
    <w:p w14:paraId="2C9F3F4F">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对马达起动箱除垢</w:t>
      </w:r>
    </w:p>
    <w:p w14:paraId="34E6AE78">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检测马达接线端子温度</w:t>
      </w:r>
    </w:p>
    <w:p w14:paraId="62C3D0F7">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检测各接触器接点</w:t>
      </w:r>
    </w:p>
    <w:p w14:paraId="0468FD06">
      <w:pPr>
        <w:numPr>
          <w:ilvl w:val="0"/>
          <w:numId w:val="66"/>
        </w:numPr>
        <w:spacing w:line="276" w:lineRule="auto"/>
        <w:rPr>
          <w:rFonts w:ascii="宋体" w:hAnsi="宋体" w:eastAsia="宋体" w:cs="Times New Roman"/>
          <w:sz w:val="24"/>
          <w:szCs w:val="24"/>
        </w:rPr>
      </w:pPr>
      <w:r>
        <w:rPr>
          <w:rFonts w:hint="eastAsia" w:ascii="宋体" w:hAnsi="宋体" w:eastAsia="宋体" w:cs="Times New Roman"/>
          <w:sz w:val="24"/>
          <w:szCs w:val="24"/>
        </w:rPr>
        <w:t>保护性的处理各接触器接点</w:t>
      </w:r>
    </w:p>
    <w:p w14:paraId="1896D232">
      <w:pPr>
        <w:spacing w:line="276" w:lineRule="auto"/>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、润滑系统</w:t>
      </w:r>
    </w:p>
    <w:p w14:paraId="2E425E96">
      <w:pPr>
        <w:numPr>
          <w:ilvl w:val="0"/>
          <w:numId w:val="67"/>
        </w:numPr>
        <w:spacing w:line="276" w:lineRule="auto"/>
        <w:rPr>
          <w:rFonts w:ascii="宋体" w:hAnsi="宋体" w:eastAsia="宋体" w:cs="Times New Roman"/>
          <w:sz w:val="24"/>
          <w:szCs w:val="24"/>
        </w:rPr>
      </w:pPr>
      <w:r>
        <w:rPr>
          <w:rFonts w:hint="eastAsia" w:ascii="宋体" w:hAnsi="宋体" w:eastAsia="宋体" w:cs="Times New Roman"/>
          <w:sz w:val="24"/>
          <w:szCs w:val="24"/>
        </w:rPr>
        <w:t>检查机组冷冻油是否在正常使用范围</w:t>
      </w:r>
    </w:p>
    <w:p w14:paraId="375EDEEC">
      <w:pPr>
        <w:numPr>
          <w:ilvl w:val="0"/>
          <w:numId w:val="67"/>
        </w:numPr>
        <w:spacing w:line="276" w:lineRule="auto"/>
        <w:rPr>
          <w:rFonts w:ascii="宋体" w:hAnsi="宋体" w:eastAsia="宋体" w:cs="Times New Roman"/>
          <w:sz w:val="24"/>
          <w:szCs w:val="24"/>
        </w:rPr>
      </w:pPr>
      <w:r>
        <w:rPr>
          <w:rFonts w:hint="eastAsia" w:ascii="宋体" w:hAnsi="宋体" w:eastAsia="宋体" w:cs="Times New Roman"/>
          <w:sz w:val="24"/>
          <w:szCs w:val="24"/>
        </w:rPr>
        <w:t>检测油槽油位是否正常（运转中）</w:t>
      </w:r>
    </w:p>
    <w:p w14:paraId="483C8760">
      <w:pPr>
        <w:numPr>
          <w:ilvl w:val="0"/>
          <w:numId w:val="67"/>
        </w:numPr>
        <w:spacing w:line="276" w:lineRule="auto"/>
        <w:rPr>
          <w:rFonts w:ascii="宋体" w:hAnsi="宋体" w:eastAsia="宋体" w:cs="Times New Roman"/>
          <w:sz w:val="24"/>
          <w:szCs w:val="24"/>
        </w:rPr>
      </w:pPr>
      <w:r>
        <w:rPr>
          <w:rFonts w:hint="eastAsia" w:ascii="宋体" w:hAnsi="宋体" w:eastAsia="宋体" w:cs="Times New Roman"/>
          <w:sz w:val="24"/>
          <w:szCs w:val="24"/>
        </w:rPr>
        <w:t>检测油温控制传感器</w:t>
      </w:r>
    </w:p>
    <w:p w14:paraId="373E1860">
      <w:pPr>
        <w:spacing w:line="276" w:lineRule="auto"/>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、控制及保护电路</w:t>
      </w:r>
    </w:p>
    <w:p w14:paraId="12B0905B">
      <w:pPr>
        <w:numPr>
          <w:ilvl w:val="0"/>
          <w:numId w:val="68"/>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检测及校正低温传感器</w:t>
      </w:r>
    </w:p>
    <w:p w14:paraId="508E4C9E">
      <w:pPr>
        <w:numPr>
          <w:ilvl w:val="0"/>
          <w:numId w:val="68"/>
        </w:numPr>
        <w:spacing w:line="276" w:lineRule="auto"/>
        <w:rPr>
          <w:rFonts w:ascii="宋体" w:hAnsi="宋体" w:eastAsia="宋体" w:cs="Times New Roman"/>
          <w:sz w:val="24"/>
          <w:szCs w:val="24"/>
        </w:rPr>
      </w:pPr>
      <w:r>
        <w:rPr>
          <w:rFonts w:hint="eastAsia" w:ascii="宋体" w:hAnsi="宋体" w:eastAsia="宋体" w:cs="Times New Roman"/>
          <w:sz w:val="24"/>
          <w:szCs w:val="24"/>
        </w:rPr>
        <w:t>检测及调整高压开关</w:t>
      </w:r>
    </w:p>
    <w:p w14:paraId="5E2D8DE2">
      <w:pPr>
        <w:numPr>
          <w:ilvl w:val="0"/>
          <w:numId w:val="68"/>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检测及校正高压传感器（选择配备）</w:t>
      </w:r>
    </w:p>
    <w:p w14:paraId="2CCF8759">
      <w:pPr>
        <w:numPr>
          <w:ilvl w:val="0"/>
          <w:numId w:val="68"/>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检测冷却水及冰水温度传感器</w:t>
      </w:r>
    </w:p>
    <w:p w14:paraId="6E17CE1C">
      <w:pPr>
        <w:numPr>
          <w:ilvl w:val="0"/>
          <w:numId w:val="68"/>
        </w:numPr>
        <w:spacing w:line="276" w:lineRule="auto"/>
        <w:rPr>
          <w:rFonts w:ascii="宋体" w:hAnsi="宋体" w:eastAsia="宋体" w:cs="Times New Roman"/>
          <w:sz w:val="24"/>
          <w:szCs w:val="24"/>
        </w:rPr>
      </w:pPr>
      <w:r>
        <w:rPr>
          <w:rFonts w:hint="eastAsia" w:ascii="宋体" w:hAnsi="宋体" w:eastAsia="宋体" w:cs="Times New Roman"/>
          <w:sz w:val="24"/>
          <w:szCs w:val="24"/>
        </w:rPr>
        <w:t>检测及调整冷却水及冷冻水流量开关</w:t>
      </w:r>
    </w:p>
    <w:p w14:paraId="37436344">
      <w:pPr>
        <w:numPr>
          <w:ilvl w:val="0"/>
          <w:numId w:val="68"/>
        </w:numPr>
        <w:spacing w:line="276" w:lineRule="auto"/>
        <w:rPr>
          <w:rFonts w:ascii="宋体" w:hAnsi="宋体" w:eastAsia="宋体" w:cs="Times New Roman"/>
          <w:sz w:val="24"/>
          <w:szCs w:val="24"/>
        </w:rPr>
      </w:pPr>
      <w:r>
        <w:rPr>
          <w:rFonts w:hint="eastAsia" w:ascii="宋体" w:hAnsi="宋体" w:eastAsia="宋体" w:cs="Times New Roman"/>
          <w:sz w:val="24"/>
          <w:szCs w:val="24"/>
        </w:rPr>
        <w:t>校正及调整主机设定参数</w:t>
      </w:r>
    </w:p>
    <w:p w14:paraId="34800A11">
      <w:pPr>
        <w:spacing w:line="276" w:lineRule="auto"/>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、冷凝器</w:t>
      </w:r>
    </w:p>
    <w:p w14:paraId="417C1AAB">
      <w:pPr>
        <w:numPr>
          <w:ilvl w:val="0"/>
          <w:numId w:val="69"/>
        </w:numPr>
        <w:spacing w:line="276" w:lineRule="auto"/>
        <w:rPr>
          <w:rFonts w:ascii="宋体" w:hAnsi="宋体" w:eastAsia="宋体" w:cs="Times New Roman"/>
          <w:sz w:val="24"/>
          <w:szCs w:val="24"/>
        </w:rPr>
      </w:pPr>
      <w:r>
        <w:rPr>
          <w:rFonts w:hint="eastAsia" w:ascii="宋体" w:hAnsi="宋体" w:eastAsia="宋体" w:cs="Times New Roman"/>
          <w:sz w:val="24"/>
          <w:szCs w:val="24"/>
        </w:rPr>
        <w:t>检测水及冷媒之温差</w:t>
      </w:r>
    </w:p>
    <w:p w14:paraId="597FE953">
      <w:pPr>
        <w:numPr>
          <w:ilvl w:val="0"/>
          <w:numId w:val="69"/>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检测冷媒饱和温度传感器</w:t>
      </w:r>
    </w:p>
    <w:p w14:paraId="207AD0D6">
      <w:pPr>
        <w:numPr>
          <w:ilvl w:val="0"/>
          <w:numId w:val="69"/>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检测冷媒饱和压力传感器</w:t>
      </w:r>
    </w:p>
    <w:p w14:paraId="541D0731">
      <w:pPr>
        <w:spacing w:line="276" w:lineRule="auto"/>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、蒸发器</w:t>
      </w:r>
    </w:p>
    <w:p w14:paraId="5364CEA3">
      <w:pPr>
        <w:numPr>
          <w:ilvl w:val="0"/>
          <w:numId w:val="70"/>
        </w:numPr>
        <w:spacing w:line="276" w:lineRule="auto"/>
        <w:rPr>
          <w:rFonts w:ascii="宋体" w:hAnsi="宋体" w:eastAsia="宋体" w:cs="Times New Roman"/>
          <w:sz w:val="24"/>
          <w:szCs w:val="24"/>
        </w:rPr>
      </w:pPr>
      <w:r>
        <w:rPr>
          <w:rFonts w:hint="eastAsia" w:ascii="宋体" w:hAnsi="宋体" w:eastAsia="宋体" w:cs="Times New Roman"/>
          <w:sz w:val="24"/>
          <w:szCs w:val="24"/>
        </w:rPr>
        <w:t>检测水及冷媒之温差</w:t>
      </w:r>
    </w:p>
    <w:p w14:paraId="292C2813">
      <w:pPr>
        <w:numPr>
          <w:ilvl w:val="0"/>
          <w:numId w:val="70"/>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检测冷媒饱和温度传感器</w:t>
      </w:r>
    </w:p>
    <w:p w14:paraId="433FE05C">
      <w:pPr>
        <w:numPr>
          <w:ilvl w:val="0"/>
          <w:numId w:val="70"/>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检测及校正冷媒蒸发压力</w:t>
      </w:r>
    </w:p>
    <w:p w14:paraId="737257FF">
      <w:pPr>
        <w:spacing w:line="276" w:lineRule="auto"/>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、开机运转测试</w:t>
      </w:r>
    </w:p>
    <w:p w14:paraId="25E5354D">
      <w:pPr>
        <w:numPr>
          <w:ilvl w:val="0"/>
          <w:numId w:val="71"/>
        </w:numPr>
        <w:spacing w:line="276" w:lineRule="auto"/>
        <w:rPr>
          <w:rFonts w:ascii="宋体" w:hAnsi="宋体" w:eastAsia="宋体" w:cs="Times New Roman"/>
          <w:sz w:val="24"/>
          <w:szCs w:val="24"/>
        </w:rPr>
      </w:pPr>
      <w:r>
        <w:rPr>
          <w:rFonts w:hint="eastAsia" w:ascii="宋体" w:hAnsi="宋体" w:eastAsia="宋体" w:cs="Times New Roman"/>
          <w:sz w:val="24"/>
          <w:szCs w:val="24"/>
        </w:rPr>
        <w:t>检测马达线圈温度传感器</w:t>
      </w:r>
    </w:p>
    <w:p w14:paraId="5D3AF84C">
      <w:pPr>
        <w:numPr>
          <w:ilvl w:val="0"/>
          <w:numId w:val="71"/>
        </w:numPr>
        <w:spacing w:line="276" w:lineRule="auto"/>
        <w:rPr>
          <w:rFonts w:ascii="宋体" w:hAnsi="宋体" w:eastAsia="宋体" w:cs="Times New Roman"/>
          <w:sz w:val="24"/>
          <w:szCs w:val="24"/>
        </w:rPr>
      </w:pPr>
      <w:r>
        <w:rPr>
          <w:rFonts w:hint="eastAsia" w:ascii="宋体" w:hAnsi="宋体" w:eastAsia="宋体" w:cs="Times New Roman"/>
          <w:sz w:val="24"/>
          <w:szCs w:val="24"/>
        </w:rPr>
        <w:t>检测</w:t>
      </w:r>
      <w:r>
        <w:rPr>
          <w:rFonts w:ascii="宋体" w:hAnsi="宋体" w:eastAsia="宋体" w:cs="Times New Roman"/>
          <w:sz w:val="24"/>
          <w:szCs w:val="24"/>
        </w:rPr>
        <w:t xml:space="preserve">SLIDE VALVE </w:t>
      </w:r>
      <w:r>
        <w:rPr>
          <w:rFonts w:hint="eastAsia" w:ascii="宋体" w:hAnsi="宋体" w:eastAsia="宋体" w:cs="Times New Roman"/>
          <w:sz w:val="24"/>
          <w:szCs w:val="24"/>
        </w:rPr>
        <w:t>之功能</w:t>
      </w:r>
    </w:p>
    <w:p w14:paraId="78D028C2">
      <w:pPr>
        <w:numPr>
          <w:ilvl w:val="0"/>
          <w:numId w:val="71"/>
        </w:numPr>
        <w:spacing w:line="276" w:lineRule="auto"/>
        <w:rPr>
          <w:rFonts w:ascii="宋体" w:hAnsi="宋体" w:eastAsia="宋体" w:cs="Times New Roman"/>
          <w:sz w:val="24"/>
          <w:szCs w:val="24"/>
        </w:rPr>
      </w:pPr>
      <w:r>
        <w:rPr>
          <w:rFonts w:hint="eastAsia" w:ascii="宋体" w:hAnsi="宋体" w:eastAsia="宋体" w:cs="Times New Roman"/>
          <w:sz w:val="24"/>
          <w:szCs w:val="24"/>
        </w:rPr>
        <w:t>检测冷媒过滤器温差</w:t>
      </w:r>
    </w:p>
    <w:p w14:paraId="7BC4B55B">
      <w:pPr>
        <w:numPr>
          <w:ilvl w:val="0"/>
          <w:numId w:val="71"/>
        </w:numPr>
        <w:spacing w:line="276" w:lineRule="auto"/>
        <w:rPr>
          <w:rFonts w:ascii="宋体" w:hAnsi="宋体" w:eastAsia="宋体" w:cs="Times New Roman"/>
          <w:sz w:val="24"/>
          <w:szCs w:val="24"/>
        </w:rPr>
      </w:pPr>
      <w:r>
        <w:rPr>
          <w:rFonts w:hint="eastAsia" w:ascii="宋体" w:hAnsi="宋体" w:eastAsia="宋体" w:cs="Times New Roman"/>
          <w:sz w:val="24"/>
          <w:szCs w:val="24"/>
        </w:rPr>
        <w:t>检测不正常之噪音，振动及高温</w:t>
      </w:r>
    </w:p>
    <w:p w14:paraId="520C442D">
      <w:pPr>
        <w:numPr>
          <w:ilvl w:val="0"/>
          <w:numId w:val="71"/>
        </w:numPr>
        <w:spacing w:line="276" w:lineRule="auto"/>
        <w:rPr>
          <w:rFonts w:ascii="宋体" w:hAnsi="宋体" w:eastAsia="宋体" w:cs="Times New Roman"/>
          <w:sz w:val="24"/>
          <w:szCs w:val="24"/>
        </w:rPr>
      </w:pPr>
      <w:r>
        <w:rPr>
          <w:rFonts w:hint="eastAsia" w:ascii="宋体" w:hAnsi="宋体" w:eastAsia="宋体" w:cs="Times New Roman"/>
          <w:sz w:val="24"/>
          <w:szCs w:val="24"/>
        </w:rPr>
        <w:t>检测及报告损坏之零件</w:t>
      </w:r>
    </w:p>
    <w:p w14:paraId="4C50FCEC">
      <w:pPr>
        <w:spacing w:line="276" w:lineRule="auto"/>
        <w:rPr>
          <w:rFonts w:ascii="宋体" w:hAnsi="宋体" w:eastAsia="宋体" w:cs="Times New Roman"/>
          <w:sz w:val="24"/>
          <w:szCs w:val="24"/>
        </w:rPr>
      </w:pPr>
      <w:r>
        <w:rPr>
          <w:rFonts w:hint="eastAsia" w:ascii="宋体" w:hAnsi="宋体" w:eastAsia="宋体" w:cs="Times New Roman"/>
          <w:sz w:val="24"/>
          <w:szCs w:val="24"/>
        </w:rPr>
        <w:t>检测及报告其操作状况</w:t>
      </w:r>
    </w:p>
    <w:p w14:paraId="7DB37A3F">
      <w:pPr>
        <w:spacing w:line="360" w:lineRule="auto"/>
        <w:rPr>
          <w:rFonts w:ascii="宋体" w:hAnsi="宋体" w:eastAsia="宋体" w:cs="宋体"/>
          <w:sz w:val="24"/>
          <w:szCs w:val="24"/>
        </w:rPr>
      </w:pPr>
    </w:p>
    <w:p w14:paraId="041CDD9E">
      <w:pPr>
        <w:widowControl/>
        <w:jc w:val="left"/>
        <w:rPr>
          <w:rFonts w:ascii="宋体" w:hAnsi="宋体" w:eastAsia="宋体" w:cs="宋体"/>
          <w:b/>
          <w:bCs/>
          <w:sz w:val="28"/>
          <w:szCs w:val="28"/>
        </w:rPr>
      </w:pPr>
      <w:r>
        <w:rPr>
          <w:rFonts w:ascii="宋体" w:hAnsi="宋体" w:eastAsia="宋体" w:cs="宋体"/>
          <w:b/>
          <w:bCs/>
          <w:sz w:val="28"/>
          <w:szCs w:val="28"/>
        </w:rPr>
        <w:br w:type="page"/>
      </w:r>
    </w:p>
    <w:p w14:paraId="76C663F9">
      <w:pPr>
        <w:spacing w:line="360" w:lineRule="auto"/>
        <w:rPr>
          <w:rFonts w:ascii="宋体" w:hAnsi="宋体" w:eastAsia="宋体" w:cs="宋体"/>
          <w:b/>
          <w:bCs/>
          <w:sz w:val="28"/>
          <w:szCs w:val="28"/>
        </w:rPr>
      </w:pPr>
      <w:r>
        <w:rPr>
          <w:rFonts w:hint="eastAsia" w:ascii="宋体" w:hAnsi="宋体" w:eastAsia="宋体" w:cs="宋体"/>
          <w:b/>
          <w:bCs/>
          <w:sz w:val="28"/>
          <w:szCs w:val="28"/>
        </w:rPr>
        <w:t>附件四：</w:t>
      </w:r>
      <w:bookmarkStart w:id="6" w:name="_Hlk136329672"/>
      <w:r>
        <w:rPr>
          <w:rFonts w:hint="eastAsia" w:ascii="宋体" w:hAnsi="宋体" w:eastAsia="宋体" w:cs="宋体"/>
          <w:b/>
          <w:bCs/>
          <w:sz w:val="28"/>
          <w:szCs w:val="28"/>
        </w:rPr>
        <w:t>院区中央空调主机系统维保考核评分表</w:t>
      </w:r>
      <w:bookmarkEnd w:id="6"/>
    </w:p>
    <w:p w14:paraId="12A98A59">
      <w:pPr>
        <w:jc w:val="center"/>
        <w:rPr>
          <w:rFonts w:ascii="Calibri" w:hAnsi="Calibri" w:eastAsia="宋体" w:cs="Times New Roman"/>
          <w:sz w:val="32"/>
          <w:szCs w:val="32"/>
        </w:rPr>
      </w:pPr>
      <w:r>
        <w:rPr>
          <w:rFonts w:hint="eastAsia" w:ascii="Calibri" w:hAnsi="Calibri" w:eastAsia="宋体" w:cs="Times New Roman"/>
          <w:sz w:val="32"/>
          <w:szCs w:val="32"/>
        </w:rPr>
        <w:t>院区中央空调主机系统维保项目</w:t>
      </w:r>
    </w:p>
    <w:tbl>
      <w:tblPr>
        <w:tblStyle w:val="7"/>
        <w:tblpPr w:leftFromText="180" w:rightFromText="180" w:vertAnchor="page" w:horzAnchor="margin" w:tblpXSpec="center" w:tblpY="323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101"/>
        <w:gridCol w:w="709"/>
        <w:gridCol w:w="5528"/>
        <w:gridCol w:w="851"/>
        <w:gridCol w:w="708"/>
      </w:tblGrid>
      <w:tr w14:paraId="2531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0" w:type="dxa"/>
            <w:vAlign w:val="center"/>
          </w:tcPr>
          <w:p w14:paraId="57418D40">
            <w:pPr>
              <w:jc w:val="center"/>
              <w:rPr>
                <w:rFonts w:ascii="宋体" w:hAnsi="宋体" w:eastAsia="宋体" w:cs="Times New Roman"/>
                <w:kern w:val="0"/>
                <w:sz w:val="20"/>
                <w:szCs w:val="21"/>
              </w:rPr>
            </w:pPr>
            <w:r>
              <w:rPr>
                <w:rFonts w:hint="eastAsia" w:ascii="宋体" w:hAnsi="宋体" w:eastAsia="宋体" w:cs="Times New Roman"/>
                <w:kern w:val="0"/>
                <w:sz w:val="20"/>
                <w:szCs w:val="21"/>
              </w:rPr>
              <w:t>序号</w:t>
            </w:r>
          </w:p>
        </w:tc>
        <w:tc>
          <w:tcPr>
            <w:tcW w:w="1101" w:type="dxa"/>
            <w:vAlign w:val="center"/>
          </w:tcPr>
          <w:p w14:paraId="164EBF7D">
            <w:pPr>
              <w:jc w:val="center"/>
              <w:rPr>
                <w:rFonts w:ascii="宋体" w:hAnsi="宋体" w:eastAsia="宋体" w:cs="Times New Roman"/>
                <w:kern w:val="0"/>
                <w:sz w:val="20"/>
                <w:szCs w:val="21"/>
              </w:rPr>
            </w:pPr>
            <w:r>
              <w:rPr>
                <w:rFonts w:hint="eastAsia" w:ascii="宋体" w:hAnsi="宋体" w:eastAsia="宋体" w:cs="Times New Roman"/>
                <w:kern w:val="0"/>
                <w:sz w:val="20"/>
                <w:szCs w:val="21"/>
              </w:rPr>
              <w:t>考评内容</w:t>
            </w:r>
          </w:p>
        </w:tc>
        <w:tc>
          <w:tcPr>
            <w:tcW w:w="709" w:type="dxa"/>
            <w:vAlign w:val="center"/>
          </w:tcPr>
          <w:p w14:paraId="29708846">
            <w:pPr>
              <w:jc w:val="center"/>
              <w:rPr>
                <w:rFonts w:ascii="宋体" w:hAnsi="宋体" w:eastAsia="宋体" w:cs="Times New Roman"/>
                <w:kern w:val="0"/>
                <w:sz w:val="20"/>
                <w:szCs w:val="21"/>
              </w:rPr>
            </w:pPr>
            <w:r>
              <w:rPr>
                <w:rFonts w:hint="eastAsia" w:ascii="宋体" w:hAnsi="宋体" w:eastAsia="宋体" w:cs="Times New Roman"/>
                <w:kern w:val="0"/>
                <w:sz w:val="20"/>
                <w:szCs w:val="21"/>
              </w:rPr>
              <w:t>分值</w:t>
            </w:r>
          </w:p>
        </w:tc>
        <w:tc>
          <w:tcPr>
            <w:tcW w:w="5528" w:type="dxa"/>
            <w:vAlign w:val="center"/>
          </w:tcPr>
          <w:p w14:paraId="5B12A101">
            <w:pPr>
              <w:jc w:val="center"/>
              <w:rPr>
                <w:rFonts w:ascii="宋体" w:hAnsi="宋体" w:eastAsia="宋体" w:cs="Times New Roman"/>
                <w:kern w:val="0"/>
                <w:sz w:val="20"/>
                <w:szCs w:val="21"/>
              </w:rPr>
            </w:pPr>
            <w:r>
              <w:rPr>
                <w:rFonts w:hint="eastAsia" w:ascii="宋体" w:hAnsi="宋体" w:eastAsia="宋体" w:cs="Times New Roman"/>
                <w:kern w:val="0"/>
                <w:sz w:val="20"/>
                <w:szCs w:val="21"/>
              </w:rPr>
              <w:t>考核对细则</w:t>
            </w:r>
          </w:p>
        </w:tc>
        <w:tc>
          <w:tcPr>
            <w:tcW w:w="851" w:type="dxa"/>
            <w:vAlign w:val="center"/>
          </w:tcPr>
          <w:p w14:paraId="53BAC68A">
            <w:pPr>
              <w:jc w:val="center"/>
              <w:rPr>
                <w:rFonts w:ascii="Calibri" w:hAnsi="Calibri" w:eastAsia="宋体" w:cs="Times New Roman"/>
                <w:kern w:val="0"/>
                <w:sz w:val="20"/>
                <w:szCs w:val="21"/>
              </w:rPr>
            </w:pPr>
            <w:r>
              <w:rPr>
                <w:rFonts w:hint="eastAsia" w:ascii="Calibri" w:hAnsi="Calibri" w:eastAsia="宋体" w:cs="Times New Roman"/>
                <w:kern w:val="0"/>
                <w:sz w:val="20"/>
                <w:szCs w:val="21"/>
              </w:rPr>
              <w:t>评分</w:t>
            </w:r>
          </w:p>
          <w:p w14:paraId="51DBEF76">
            <w:pPr>
              <w:jc w:val="center"/>
              <w:rPr>
                <w:rFonts w:ascii="Calibri" w:hAnsi="Calibri" w:eastAsia="宋体" w:cs="Times New Roman"/>
                <w:kern w:val="0"/>
                <w:sz w:val="20"/>
                <w:szCs w:val="21"/>
              </w:rPr>
            </w:pPr>
            <w:r>
              <w:rPr>
                <w:rFonts w:hint="eastAsia" w:ascii="Calibri" w:hAnsi="Calibri" w:eastAsia="宋体" w:cs="Times New Roman"/>
                <w:kern w:val="0"/>
                <w:sz w:val="20"/>
                <w:szCs w:val="21"/>
              </w:rPr>
              <w:t>标准</w:t>
            </w:r>
          </w:p>
        </w:tc>
        <w:tc>
          <w:tcPr>
            <w:tcW w:w="708" w:type="dxa"/>
            <w:vAlign w:val="center"/>
          </w:tcPr>
          <w:p w14:paraId="0C15A33A">
            <w:pPr>
              <w:jc w:val="center"/>
              <w:rPr>
                <w:rFonts w:ascii="Calibri" w:hAnsi="Calibri" w:eastAsia="宋体" w:cs="Times New Roman"/>
                <w:kern w:val="0"/>
                <w:sz w:val="20"/>
                <w:szCs w:val="21"/>
              </w:rPr>
            </w:pPr>
            <w:r>
              <w:rPr>
                <w:rFonts w:hint="eastAsia" w:ascii="Calibri" w:hAnsi="Calibri" w:eastAsia="宋体" w:cs="Times New Roman"/>
                <w:kern w:val="0"/>
                <w:sz w:val="20"/>
                <w:szCs w:val="21"/>
              </w:rPr>
              <w:t>得分</w:t>
            </w:r>
          </w:p>
        </w:tc>
      </w:tr>
      <w:tr w14:paraId="3BD2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 w:type="dxa"/>
            <w:vMerge w:val="restart"/>
            <w:vAlign w:val="center"/>
          </w:tcPr>
          <w:p w14:paraId="5B650A33">
            <w:pPr>
              <w:jc w:val="center"/>
              <w:rPr>
                <w:rFonts w:ascii="宋体" w:hAnsi="宋体" w:eastAsia="宋体" w:cs="Times New Roman"/>
                <w:kern w:val="0"/>
                <w:sz w:val="20"/>
                <w:szCs w:val="21"/>
              </w:rPr>
            </w:pPr>
            <w:r>
              <w:rPr>
                <w:rFonts w:hint="eastAsia" w:ascii="宋体" w:hAnsi="宋体" w:eastAsia="宋体" w:cs="Times New Roman"/>
                <w:kern w:val="0"/>
                <w:sz w:val="20"/>
                <w:szCs w:val="21"/>
              </w:rPr>
              <w:t>1</w:t>
            </w:r>
          </w:p>
        </w:tc>
        <w:tc>
          <w:tcPr>
            <w:tcW w:w="1101" w:type="dxa"/>
            <w:vMerge w:val="restart"/>
            <w:vAlign w:val="center"/>
          </w:tcPr>
          <w:p w14:paraId="67A8AB0B">
            <w:pPr>
              <w:ind w:firstLine="200" w:firstLineChars="100"/>
              <w:jc w:val="center"/>
              <w:rPr>
                <w:rFonts w:ascii="宋体" w:hAnsi="宋体" w:eastAsia="宋体" w:cs="Times New Roman"/>
                <w:kern w:val="0"/>
                <w:sz w:val="20"/>
                <w:szCs w:val="21"/>
              </w:rPr>
            </w:pPr>
            <w:r>
              <w:rPr>
                <w:rFonts w:hint="eastAsia" w:ascii="宋体" w:hAnsi="宋体" w:eastAsia="宋体" w:cs="Times New Roman"/>
                <w:kern w:val="0"/>
                <w:sz w:val="20"/>
                <w:szCs w:val="21"/>
              </w:rPr>
              <w:t>维保情况</w:t>
            </w:r>
          </w:p>
        </w:tc>
        <w:tc>
          <w:tcPr>
            <w:tcW w:w="709" w:type="dxa"/>
            <w:vMerge w:val="restart"/>
            <w:vAlign w:val="center"/>
          </w:tcPr>
          <w:p w14:paraId="149588FA">
            <w:pPr>
              <w:jc w:val="center"/>
              <w:rPr>
                <w:rFonts w:ascii="宋体" w:hAnsi="宋体" w:eastAsia="宋体" w:cs="Times New Roman"/>
                <w:kern w:val="0"/>
                <w:sz w:val="20"/>
                <w:szCs w:val="21"/>
              </w:rPr>
            </w:pPr>
            <w:r>
              <w:rPr>
                <w:rFonts w:hint="eastAsia" w:ascii="宋体" w:hAnsi="宋体" w:eastAsia="宋体" w:cs="Times New Roman"/>
                <w:kern w:val="0"/>
                <w:sz w:val="20"/>
                <w:szCs w:val="21"/>
              </w:rPr>
              <w:t>20</w:t>
            </w:r>
          </w:p>
        </w:tc>
        <w:tc>
          <w:tcPr>
            <w:tcW w:w="5528" w:type="dxa"/>
            <w:tcBorders>
              <w:bottom w:val="single" w:color="auto" w:sz="4" w:space="0"/>
            </w:tcBorders>
          </w:tcPr>
          <w:p w14:paraId="1907048D">
            <w:pPr>
              <w:rPr>
                <w:rFonts w:ascii="宋体" w:hAnsi="宋体" w:eastAsia="宋体" w:cs="Times New Roman"/>
                <w:kern w:val="0"/>
                <w:sz w:val="20"/>
                <w:szCs w:val="21"/>
              </w:rPr>
            </w:pPr>
            <w:r>
              <w:rPr>
                <w:rFonts w:hint="eastAsia" w:ascii="宋体" w:hAnsi="宋体" w:eastAsia="宋体" w:cs="Times New Roman"/>
                <w:kern w:val="0"/>
                <w:sz w:val="20"/>
                <w:szCs w:val="21"/>
              </w:rPr>
              <w:t>根据合同内容及时提交保养计划及按计划完成设备维保，维修记录完善。</w:t>
            </w:r>
          </w:p>
        </w:tc>
        <w:tc>
          <w:tcPr>
            <w:tcW w:w="851" w:type="dxa"/>
            <w:tcBorders>
              <w:bottom w:val="single" w:color="auto" w:sz="4" w:space="0"/>
            </w:tcBorders>
            <w:vAlign w:val="center"/>
          </w:tcPr>
          <w:p w14:paraId="5C7CEC02">
            <w:pPr>
              <w:jc w:val="center"/>
              <w:rPr>
                <w:rFonts w:ascii="Calibri" w:hAnsi="Calibri" w:eastAsia="宋体" w:cs="Times New Roman"/>
                <w:kern w:val="0"/>
                <w:sz w:val="20"/>
                <w:szCs w:val="21"/>
              </w:rPr>
            </w:pPr>
            <w:r>
              <w:rPr>
                <w:rFonts w:hint="eastAsia" w:ascii="Calibri" w:hAnsi="Calibri" w:eastAsia="宋体" w:cs="Times New Roman"/>
                <w:kern w:val="0"/>
                <w:sz w:val="20"/>
                <w:szCs w:val="21"/>
              </w:rPr>
              <w:t>20</w:t>
            </w:r>
          </w:p>
        </w:tc>
        <w:tc>
          <w:tcPr>
            <w:tcW w:w="708" w:type="dxa"/>
            <w:vMerge w:val="restart"/>
          </w:tcPr>
          <w:p w14:paraId="45995792">
            <w:pPr>
              <w:rPr>
                <w:rFonts w:ascii="Calibri" w:hAnsi="Calibri" w:eastAsia="宋体" w:cs="Times New Roman"/>
                <w:kern w:val="0"/>
                <w:sz w:val="20"/>
                <w:szCs w:val="21"/>
              </w:rPr>
            </w:pPr>
          </w:p>
        </w:tc>
      </w:tr>
      <w:tr w14:paraId="62A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0" w:type="dxa"/>
            <w:vMerge w:val="continue"/>
            <w:vAlign w:val="center"/>
          </w:tcPr>
          <w:p w14:paraId="3C9E194D">
            <w:pPr>
              <w:jc w:val="center"/>
              <w:rPr>
                <w:rFonts w:ascii="宋体" w:hAnsi="宋体" w:eastAsia="宋体" w:cs="Times New Roman"/>
                <w:kern w:val="0"/>
                <w:sz w:val="20"/>
                <w:szCs w:val="21"/>
              </w:rPr>
            </w:pPr>
          </w:p>
        </w:tc>
        <w:tc>
          <w:tcPr>
            <w:tcW w:w="1101" w:type="dxa"/>
            <w:vMerge w:val="continue"/>
            <w:vAlign w:val="center"/>
          </w:tcPr>
          <w:p w14:paraId="08E95586">
            <w:pPr>
              <w:jc w:val="center"/>
              <w:rPr>
                <w:rFonts w:ascii="宋体" w:hAnsi="宋体" w:eastAsia="宋体" w:cs="Times New Roman"/>
                <w:kern w:val="0"/>
                <w:sz w:val="20"/>
                <w:szCs w:val="21"/>
              </w:rPr>
            </w:pPr>
          </w:p>
        </w:tc>
        <w:tc>
          <w:tcPr>
            <w:tcW w:w="709" w:type="dxa"/>
            <w:vMerge w:val="continue"/>
            <w:vAlign w:val="center"/>
          </w:tcPr>
          <w:p w14:paraId="0BFE590D">
            <w:pPr>
              <w:jc w:val="cente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42EC2BB7">
            <w:pPr>
              <w:rPr>
                <w:rFonts w:ascii="宋体" w:hAnsi="宋体" w:eastAsia="宋体" w:cs="Times New Roman"/>
                <w:kern w:val="0"/>
                <w:sz w:val="20"/>
                <w:szCs w:val="21"/>
              </w:rPr>
            </w:pPr>
            <w:r>
              <w:rPr>
                <w:rFonts w:hint="eastAsia" w:ascii="宋体" w:hAnsi="宋体" w:eastAsia="宋体" w:cs="Times New Roman"/>
                <w:kern w:val="0"/>
                <w:sz w:val="20"/>
                <w:szCs w:val="21"/>
              </w:rPr>
              <w:t>不能按时提交保养计划，但能及时补交和补做。</w:t>
            </w:r>
          </w:p>
        </w:tc>
        <w:tc>
          <w:tcPr>
            <w:tcW w:w="851" w:type="dxa"/>
            <w:tcBorders>
              <w:top w:val="single" w:color="auto" w:sz="4" w:space="0"/>
              <w:bottom w:val="single" w:color="auto" w:sz="4" w:space="0"/>
            </w:tcBorders>
            <w:vAlign w:val="center"/>
          </w:tcPr>
          <w:p w14:paraId="1535A17E">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r>
              <w:rPr>
                <w:rFonts w:hint="eastAsia" w:ascii="宋体" w:hAnsi="宋体" w:eastAsia="宋体" w:cs="Times New Roman"/>
                <w:kern w:val="0"/>
                <w:sz w:val="20"/>
                <w:szCs w:val="21"/>
              </w:rPr>
              <w:t>～19</w:t>
            </w:r>
          </w:p>
        </w:tc>
        <w:tc>
          <w:tcPr>
            <w:tcW w:w="708" w:type="dxa"/>
            <w:vMerge w:val="continue"/>
          </w:tcPr>
          <w:p w14:paraId="7D7BAEBC">
            <w:pPr>
              <w:rPr>
                <w:rFonts w:ascii="Calibri" w:hAnsi="Calibri" w:eastAsia="宋体" w:cs="Times New Roman"/>
                <w:kern w:val="0"/>
                <w:sz w:val="20"/>
                <w:szCs w:val="21"/>
              </w:rPr>
            </w:pPr>
          </w:p>
        </w:tc>
      </w:tr>
      <w:tr w14:paraId="09F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0" w:type="dxa"/>
            <w:vMerge w:val="continue"/>
            <w:vAlign w:val="center"/>
          </w:tcPr>
          <w:p w14:paraId="67B13BB5">
            <w:pPr>
              <w:jc w:val="center"/>
              <w:rPr>
                <w:rFonts w:ascii="宋体" w:hAnsi="宋体" w:eastAsia="宋体" w:cs="Times New Roman"/>
                <w:kern w:val="0"/>
                <w:sz w:val="20"/>
                <w:szCs w:val="21"/>
              </w:rPr>
            </w:pPr>
          </w:p>
        </w:tc>
        <w:tc>
          <w:tcPr>
            <w:tcW w:w="1101" w:type="dxa"/>
            <w:vMerge w:val="continue"/>
            <w:vAlign w:val="center"/>
          </w:tcPr>
          <w:p w14:paraId="56052D0C">
            <w:pPr>
              <w:jc w:val="center"/>
              <w:rPr>
                <w:rFonts w:ascii="宋体" w:hAnsi="宋体" w:eastAsia="宋体" w:cs="Times New Roman"/>
                <w:kern w:val="0"/>
                <w:sz w:val="20"/>
                <w:szCs w:val="21"/>
              </w:rPr>
            </w:pPr>
          </w:p>
        </w:tc>
        <w:tc>
          <w:tcPr>
            <w:tcW w:w="709" w:type="dxa"/>
            <w:vMerge w:val="continue"/>
            <w:vAlign w:val="center"/>
          </w:tcPr>
          <w:p w14:paraId="3E563C83">
            <w:pPr>
              <w:jc w:val="center"/>
              <w:rPr>
                <w:rFonts w:ascii="宋体" w:hAnsi="宋体" w:eastAsia="宋体" w:cs="Times New Roman"/>
                <w:kern w:val="0"/>
                <w:sz w:val="20"/>
                <w:szCs w:val="21"/>
              </w:rPr>
            </w:pPr>
          </w:p>
        </w:tc>
        <w:tc>
          <w:tcPr>
            <w:tcW w:w="5528" w:type="dxa"/>
            <w:tcBorders>
              <w:top w:val="single" w:color="auto" w:sz="4" w:space="0"/>
            </w:tcBorders>
          </w:tcPr>
          <w:p w14:paraId="4D496504">
            <w:pPr>
              <w:rPr>
                <w:rFonts w:ascii="宋体" w:hAnsi="宋体" w:eastAsia="宋体" w:cs="Times New Roman"/>
                <w:kern w:val="0"/>
                <w:sz w:val="20"/>
                <w:szCs w:val="21"/>
              </w:rPr>
            </w:pPr>
            <w:r>
              <w:rPr>
                <w:rFonts w:hint="eastAsia" w:ascii="宋体" w:hAnsi="宋体" w:eastAsia="宋体" w:cs="Times New Roman"/>
                <w:kern w:val="0"/>
                <w:sz w:val="20"/>
                <w:szCs w:val="21"/>
              </w:rPr>
              <w:t>未能按保养计划进行完成规定维保。</w:t>
            </w:r>
          </w:p>
        </w:tc>
        <w:tc>
          <w:tcPr>
            <w:tcW w:w="851" w:type="dxa"/>
            <w:tcBorders>
              <w:top w:val="single" w:color="auto" w:sz="4" w:space="0"/>
            </w:tcBorders>
            <w:vAlign w:val="center"/>
          </w:tcPr>
          <w:p w14:paraId="6053B6A3">
            <w:pPr>
              <w:jc w:val="center"/>
              <w:rPr>
                <w:rFonts w:ascii="Calibri" w:hAnsi="Calibri" w:eastAsia="宋体" w:cs="Times New Roman"/>
                <w:kern w:val="0"/>
                <w:sz w:val="20"/>
                <w:szCs w:val="21"/>
              </w:rPr>
            </w:pPr>
            <w:r>
              <w:rPr>
                <w:rFonts w:hint="eastAsia" w:ascii="Calibri" w:hAnsi="Calibri" w:eastAsia="宋体" w:cs="Times New Roman"/>
                <w:kern w:val="0"/>
                <w:sz w:val="20"/>
                <w:szCs w:val="21"/>
              </w:rPr>
              <w:t>0</w:t>
            </w:r>
            <w:r>
              <w:rPr>
                <w:rFonts w:hint="eastAsia" w:ascii="宋体" w:hAnsi="宋体" w:eastAsia="宋体" w:cs="Times New Roman"/>
                <w:kern w:val="0"/>
                <w:sz w:val="20"/>
                <w:szCs w:val="21"/>
              </w:rPr>
              <w:t>～5</w:t>
            </w:r>
          </w:p>
        </w:tc>
        <w:tc>
          <w:tcPr>
            <w:tcW w:w="708" w:type="dxa"/>
            <w:vMerge w:val="continue"/>
          </w:tcPr>
          <w:p w14:paraId="4AA41C54">
            <w:pPr>
              <w:rPr>
                <w:rFonts w:ascii="Calibri" w:hAnsi="Calibri" w:eastAsia="宋体" w:cs="Times New Roman"/>
                <w:kern w:val="0"/>
                <w:sz w:val="20"/>
                <w:szCs w:val="21"/>
              </w:rPr>
            </w:pPr>
          </w:p>
        </w:tc>
      </w:tr>
      <w:tr w14:paraId="47DF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0" w:type="dxa"/>
            <w:vMerge w:val="restart"/>
            <w:vAlign w:val="center"/>
          </w:tcPr>
          <w:p w14:paraId="6E42F41D">
            <w:pPr>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c>
          <w:tcPr>
            <w:tcW w:w="1101" w:type="dxa"/>
            <w:vMerge w:val="restart"/>
            <w:vAlign w:val="center"/>
          </w:tcPr>
          <w:p w14:paraId="29BAF88A">
            <w:pPr>
              <w:jc w:val="center"/>
              <w:rPr>
                <w:rFonts w:ascii="宋体" w:hAnsi="宋体" w:eastAsia="宋体" w:cs="Times New Roman"/>
                <w:kern w:val="0"/>
                <w:sz w:val="20"/>
                <w:szCs w:val="21"/>
              </w:rPr>
            </w:pPr>
            <w:r>
              <w:rPr>
                <w:rFonts w:hint="eastAsia" w:ascii="宋体" w:hAnsi="宋体" w:eastAsia="宋体" w:cs="Times New Roman"/>
                <w:kern w:val="0"/>
                <w:sz w:val="20"/>
                <w:szCs w:val="21"/>
              </w:rPr>
              <w:t>维修响应</w:t>
            </w:r>
          </w:p>
        </w:tc>
        <w:tc>
          <w:tcPr>
            <w:tcW w:w="709" w:type="dxa"/>
            <w:vMerge w:val="restart"/>
            <w:vAlign w:val="center"/>
          </w:tcPr>
          <w:p w14:paraId="73A04E69">
            <w:pPr>
              <w:jc w:val="center"/>
              <w:rPr>
                <w:rFonts w:ascii="宋体" w:hAnsi="宋体" w:eastAsia="宋体" w:cs="Times New Roman"/>
                <w:kern w:val="0"/>
                <w:sz w:val="20"/>
                <w:szCs w:val="21"/>
              </w:rPr>
            </w:pPr>
            <w:r>
              <w:rPr>
                <w:rFonts w:hint="eastAsia" w:ascii="宋体" w:hAnsi="宋体" w:eastAsia="宋体" w:cs="Times New Roman"/>
                <w:kern w:val="0"/>
                <w:sz w:val="20"/>
                <w:szCs w:val="21"/>
              </w:rPr>
              <w:t>10</w:t>
            </w:r>
          </w:p>
        </w:tc>
        <w:tc>
          <w:tcPr>
            <w:tcW w:w="5528" w:type="dxa"/>
            <w:tcBorders>
              <w:bottom w:val="single" w:color="auto" w:sz="4" w:space="0"/>
            </w:tcBorders>
          </w:tcPr>
          <w:p w14:paraId="60847861">
            <w:pPr>
              <w:rPr>
                <w:rFonts w:ascii="宋体" w:hAnsi="宋体" w:eastAsia="宋体" w:cs="Times New Roman"/>
                <w:kern w:val="0"/>
                <w:sz w:val="20"/>
                <w:szCs w:val="21"/>
              </w:rPr>
            </w:pPr>
            <w:r>
              <w:rPr>
                <w:rFonts w:hint="eastAsia" w:ascii="宋体" w:hAnsi="宋体" w:eastAsia="宋体" w:cs="Times New Roman"/>
                <w:kern w:val="0"/>
                <w:sz w:val="20"/>
                <w:szCs w:val="21"/>
              </w:rPr>
              <w:t>每次均能按合同要求或提前到达维修现场</w:t>
            </w:r>
          </w:p>
        </w:tc>
        <w:tc>
          <w:tcPr>
            <w:tcW w:w="851" w:type="dxa"/>
            <w:tcBorders>
              <w:bottom w:val="single" w:color="auto" w:sz="4" w:space="0"/>
            </w:tcBorders>
            <w:vAlign w:val="center"/>
          </w:tcPr>
          <w:p w14:paraId="01DEBD02">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708" w:type="dxa"/>
            <w:vMerge w:val="restart"/>
          </w:tcPr>
          <w:p w14:paraId="19BDA585">
            <w:pPr>
              <w:rPr>
                <w:rFonts w:ascii="Calibri" w:hAnsi="Calibri" w:eastAsia="宋体" w:cs="Times New Roman"/>
                <w:kern w:val="0"/>
                <w:sz w:val="20"/>
                <w:szCs w:val="21"/>
              </w:rPr>
            </w:pPr>
          </w:p>
        </w:tc>
      </w:tr>
      <w:tr w14:paraId="2C11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0" w:type="dxa"/>
            <w:vMerge w:val="continue"/>
            <w:vAlign w:val="center"/>
          </w:tcPr>
          <w:p w14:paraId="73004D2D">
            <w:pPr>
              <w:jc w:val="center"/>
              <w:rPr>
                <w:rFonts w:ascii="宋体" w:hAnsi="宋体" w:eastAsia="宋体" w:cs="Times New Roman"/>
                <w:kern w:val="0"/>
                <w:sz w:val="20"/>
                <w:szCs w:val="21"/>
              </w:rPr>
            </w:pPr>
          </w:p>
        </w:tc>
        <w:tc>
          <w:tcPr>
            <w:tcW w:w="1101" w:type="dxa"/>
            <w:vMerge w:val="continue"/>
            <w:vAlign w:val="center"/>
          </w:tcPr>
          <w:p w14:paraId="27AB2B41">
            <w:pPr>
              <w:jc w:val="center"/>
              <w:rPr>
                <w:rFonts w:ascii="宋体" w:hAnsi="宋体" w:eastAsia="宋体" w:cs="Times New Roman"/>
                <w:kern w:val="0"/>
                <w:sz w:val="20"/>
                <w:szCs w:val="21"/>
              </w:rPr>
            </w:pPr>
          </w:p>
        </w:tc>
        <w:tc>
          <w:tcPr>
            <w:tcW w:w="709" w:type="dxa"/>
            <w:vMerge w:val="continue"/>
            <w:vAlign w:val="center"/>
          </w:tcPr>
          <w:p w14:paraId="16903FCD">
            <w:pPr>
              <w:jc w:val="cente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26ECD64F">
            <w:pPr>
              <w:rPr>
                <w:rFonts w:ascii="宋体" w:hAnsi="宋体" w:eastAsia="宋体" w:cs="Times New Roman"/>
                <w:kern w:val="0"/>
                <w:sz w:val="20"/>
                <w:szCs w:val="21"/>
              </w:rPr>
            </w:pPr>
            <w:r>
              <w:rPr>
                <w:rFonts w:hint="eastAsia" w:ascii="宋体" w:hAnsi="宋体" w:eastAsia="宋体" w:cs="Times New Roman"/>
                <w:kern w:val="0"/>
                <w:sz w:val="20"/>
                <w:szCs w:val="21"/>
              </w:rPr>
              <w:t>基本能按要求偶有（1次）超出规定时间到达维修现场。</w:t>
            </w:r>
          </w:p>
        </w:tc>
        <w:tc>
          <w:tcPr>
            <w:tcW w:w="851" w:type="dxa"/>
            <w:tcBorders>
              <w:top w:val="single" w:color="auto" w:sz="4" w:space="0"/>
              <w:bottom w:val="single" w:color="auto" w:sz="4" w:space="0"/>
            </w:tcBorders>
            <w:vAlign w:val="center"/>
          </w:tcPr>
          <w:p w14:paraId="59E814F1">
            <w:pPr>
              <w:jc w:val="center"/>
              <w:rPr>
                <w:rFonts w:ascii="Calibri" w:hAnsi="Calibri" w:eastAsia="宋体" w:cs="Times New Roman"/>
                <w:kern w:val="0"/>
                <w:sz w:val="20"/>
                <w:szCs w:val="21"/>
              </w:rPr>
            </w:pPr>
            <w:r>
              <w:rPr>
                <w:rFonts w:hint="eastAsia" w:ascii="Calibri" w:hAnsi="Calibri" w:eastAsia="宋体" w:cs="Times New Roman"/>
                <w:kern w:val="0"/>
                <w:sz w:val="20"/>
                <w:szCs w:val="21"/>
              </w:rPr>
              <w:t>0~9</w:t>
            </w:r>
          </w:p>
        </w:tc>
        <w:tc>
          <w:tcPr>
            <w:tcW w:w="708" w:type="dxa"/>
            <w:vMerge w:val="continue"/>
          </w:tcPr>
          <w:p w14:paraId="344716E0">
            <w:pPr>
              <w:rPr>
                <w:rFonts w:ascii="Calibri" w:hAnsi="Calibri" w:eastAsia="宋体" w:cs="Times New Roman"/>
                <w:kern w:val="0"/>
                <w:sz w:val="20"/>
                <w:szCs w:val="21"/>
              </w:rPr>
            </w:pPr>
          </w:p>
        </w:tc>
      </w:tr>
      <w:tr w14:paraId="6F69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50" w:type="dxa"/>
            <w:vMerge w:val="continue"/>
            <w:vAlign w:val="center"/>
          </w:tcPr>
          <w:p w14:paraId="080D17BE">
            <w:pPr>
              <w:jc w:val="center"/>
              <w:rPr>
                <w:rFonts w:ascii="宋体" w:hAnsi="宋体" w:eastAsia="宋体" w:cs="Times New Roman"/>
                <w:kern w:val="0"/>
                <w:sz w:val="20"/>
                <w:szCs w:val="21"/>
              </w:rPr>
            </w:pPr>
          </w:p>
        </w:tc>
        <w:tc>
          <w:tcPr>
            <w:tcW w:w="1101" w:type="dxa"/>
            <w:vMerge w:val="continue"/>
            <w:vAlign w:val="center"/>
          </w:tcPr>
          <w:p w14:paraId="100E7B7B">
            <w:pPr>
              <w:jc w:val="center"/>
              <w:rPr>
                <w:rFonts w:ascii="宋体" w:hAnsi="宋体" w:eastAsia="宋体" w:cs="Times New Roman"/>
                <w:kern w:val="0"/>
                <w:sz w:val="20"/>
                <w:szCs w:val="21"/>
              </w:rPr>
            </w:pPr>
          </w:p>
        </w:tc>
        <w:tc>
          <w:tcPr>
            <w:tcW w:w="709" w:type="dxa"/>
            <w:vMerge w:val="continue"/>
            <w:vAlign w:val="center"/>
          </w:tcPr>
          <w:p w14:paraId="6A4349BE">
            <w:pPr>
              <w:jc w:val="cente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2FBE12D1">
            <w:pPr>
              <w:rPr>
                <w:rFonts w:ascii="宋体" w:hAnsi="宋体" w:eastAsia="宋体" w:cs="Times New Roman"/>
                <w:kern w:val="0"/>
                <w:sz w:val="20"/>
                <w:szCs w:val="21"/>
              </w:rPr>
            </w:pPr>
            <w:r>
              <w:rPr>
                <w:rFonts w:hint="eastAsia" w:ascii="宋体" w:hAnsi="宋体" w:eastAsia="宋体" w:cs="Times New Roman"/>
                <w:kern w:val="0"/>
                <w:sz w:val="20"/>
                <w:szCs w:val="21"/>
              </w:rPr>
              <w:t>3次未能在规定时间到达维修现场。</w:t>
            </w:r>
          </w:p>
        </w:tc>
        <w:tc>
          <w:tcPr>
            <w:tcW w:w="851" w:type="dxa"/>
            <w:tcBorders>
              <w:top w:val="single" w:color="auto" w:sz="4" w:space="0"/>
              <w:bottom w:val="single" w:color="auto" w:sz="4" w:space="0"/>
            </w:tcBorders>
            <w:vAlign w:val="center"/>
          </w:tcPr>
          <w:p w14:paraId="53E9C970">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708" w:type="dxa"/>
            <w:vMerge w:val="continue"/>
          </w:tcPr>
          <w:p w14:paraId="6A7F6C02">
            <w:pPr>
              <w:rPr>
                <w:rFonts w:ascii="Calibri" w:hAnsi="Calibri" w:eastAsia="宋体" w:cs="Times New Roman"/>
                <w:kern w:val="0"/>
                <w:sz w:val="20"/>
                <w:szCs w:val="21"/>
              </w:rPr>
            </w:pPr>
          </w:p>
        </w:tc>
      </w:tr>
      <w:tr w14:paraId="0FFB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 w:type="dxa"/>
            <w:vMerge w:val="restart"/>
            <w:vAlign w:val="center"/>
          </w:tcPr>
          <w:p w14:paraId="5452E638">
            <w:pPr>
              <w:jc w:val="center"/>
              <w:rPr>
                <w:rFonts w:ascii="宋体" w:hAnsi="宋体" w:eastAsia="宋体" w:cs="Times New Roman"/>
                <w:kern w:val="0"/>
                <w:sz w:val="20"/>
                <w:szCs w:val="21"/>
              </w:rPr>
            </w:pPr>
            <w:r>
              <w:rPr>
                <w:rFonts w:hint="eastAsia" w:ascii="宋体" w:hAnsi="宋体" w:eastAsia="宋体" w:cs="Times New Roman"/>
                <w:kern w:val="0"/>
                <w:sz w:val="20"/>
                <w:szCs w:val="21"/>
              </w:rPr>
              <w:t>3</w:t>
            </w:r>
          </w:p>
        </w:tc>
        <w:tc>
          <w:tcPr>
            <w:tcW w:w="1101" w:type="dxa"/>
            <w:vMerge w:val="restart"/>
            <w:vAlign w:val="center"/>
          </w:tcPr>
          <w:p w14:paraId="0BCC66E8">
            <w:pPr>
              <w:widowControl/>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排除故障时间</w:t>
            </w:r>
          </w:p>
        </w:tc>
        <w:tc>
          <w:tcPr>
            <w:tcW w:w="709" w:type="dxa"/>
            <w:vMerge w:val="restart"/>
            <w:vAlign w:val="center"/>
          </w:tcPr>
          <w:p w14:paraId="031BEA32">
            <w:pPr>
              <w:widowControl/>
              <w:jc w:val="center"/>
              <w:rPr>
                <w:rFonts w:ascii="宋体" w:hAnsi="宋体" w:eastAsia="宋体" w:cs="Arial"/>
                <w:color w:val="000000"/>
                <w:kern w:val="0"/>
                <w:sz w:val="20"/>
                <w:szCs w:val="21"/>
              </w:rPr>
            </w:pPr>
            <w:r>
              <w:rPr>
                <w:rFonts w:hint="eastAsia" w:ascii="宋体" w:hAnsi="宋体" w:eastAsia="宋体" w:cs="Arial"/>
                <w:color w:val="000000"/>
                <w:kern w:val="0"/>
                <w:sz w:val="20"/>
                <w:szCs w:val="21"/>
              </w:rPr>
              <w:t>20</w:t>
            </w:r>
          </w:p>
        </w:tc>
        <w:tc>
          <w:tcPr>
            <w:tcW w:w="5528" w:type="dxa"/>
            <w:tcBorders>
              <w:bottom w:val="single" w:color="auto" w:sz="4" w:space="0"/>
            </w:tcBorders>
            <w:vAlign w:val="center"/>
          </w:tcPr>
          <w:p w14:paraId="4087A896">
            <w:pPr>
              <w:widowControl/>
              <w:rPr>
                <w:rFonts w:ascii="宋体" w:hAnsi="宋体" w:eastAsia="宋体" w:cs="Arial"/>
                <w:color w:val="000000"/>
                <w:kern w:val="0"/>
                <w:sz w:val="20"/>
                <w:szCs w:val="21"/>
              </w:rPr>
            </w:pPr>
            <w:r>
              <w:rPr>
                <w:rFonts w:hint="eastAsia" w:ascii="宋体" w:hAnsi="宋体" w:eastAsia="宋体" w:cs="Arial"/>
                <w:color w:val="000000"/>
                <w:kern w:val="0"/>
                <w:sz w:val="20"/>
                <w:szCs w:val="21"/>
              </w:rPr>
              <w:t>能在规定时间内排除故障，使系统设备恢复正常运行。</w:t>
            </w:r>
          </w:p>
        </w:tc>
        <w:tc>
          <w:tcPr>
            <w:tcW w:w="851" w:type="dxa"/>
            <w:tcBorders>
              <w:bottom w:val="single" w:color="auto" w:sz="4" w:space="0"/>
            </w:tcBorders>
            <w:vAlign w:val="center"/>
          </w:tcPr>
          <w:p w14:paraId="47715060">
            <w:pPr>
              <w:jc w:val="center"/>
              <w:rPr>
                <w:rFonts w:ascii="Calibri" w:hAnsi="Calibri" w:eastAsia="宋体" w:cs="Times New Roman"/>
                <w:kern w:val="0"/>
                <w:sz w:val="20"/>
                <w:szCs w:val="21"/>
              </w:rPr>
            </w:pPr>
            <w:r>
              <w:rPr>
                <w:rFonts w:hint="eastAsia" w:ascii="Calibri" w:hAnsi="Calibri" w:eastAsia="宋体" w:cs="Times New Roman"/>
                <w:kern w:val="0"/>
                <w:sz w:val="20"/>
                <w:szCs w:val="21"/>
              </w:rPr>
              <w:t>20</w:t>
            </w:r>
          </w:p>
        </w:tc>
        <w:tc>
          <w:tcPr>
            <w:tcW w:w="708" w:type="dxa"/>
            <w:vMerge w:val="restart"/>
          </w:tcPr>
          <w:p w14:paraId="73CFB1A1">
            <w:pPr>
              <w:rPr>
                <w:rFonts w:ascii="Calibri" w:hAnsi="Calibri" w:eastAsia="宋体" w:cs="Times New Roman"/>
                <w:kern w:val="0"/>
                <w:sz w:val="20"/>
                <w:szCs w:val="21"/>
              </w:rPr>
            </w:pPr>
          </w:p>
        </w:tc>
      </w:tr>
      <w:tr w14:paraId="197E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 w:type="dxa"/>
            <w:vMerge w:val="continue"/>
            <w:vAlign w:val="center"/>
          </w:tcPr>
          <w:p w14:paraId="4201F06F">
            <w:pPr>
              <w:jc w:val="center"/>
              <w:rPr>
                <w:rFonts w:ascii="宋体" w:hAnsi="宋体" w:eastAsia="宋体" w:cs="Times New Roman"/>
                <w:kern w:val="0"/>
                <w:sz w:val="20"/>
                <w:szCs w:val="21"/>
              </w:rPr>
            </w:pPr>
          </w:p>
        </w:tc>
        <w:tc>
          <w:tcPr>
            <w:tcW w:w="1101" w:type="dxa"/>
            <w:vMerge w:val="continue"/>
            <w:vAlign w:val="center"/>
          </w:tcPr>
          <w:p w14:paraId="3B6A4A3A">
            <w:pPr>
              <w:widowControl/>
              <w:jc w:val="center"/>
              <w:rPr>
                <w:rFonts w:ascii="宋体" w:hAnsi="宋体" w:eastAsia="宋体" w:cs="宋体"/>
                <w:color w:val="000000"/>
                <w:kern w:val="0"/>
                <w:sz w:val="20"/>
                <w:szCs w:val="21"/>
              </w:rPr>
            </w:pPr>
          </w:p>
        </w:tc>
        <w:tc>
          <w:tcPr>
            <w:tcW w:w="709" w:type="dxa"/>
            <w:vMerge w:val="continue"/>
            <w:vAlign w:val="center"/>
          </w:tcPr>
          <w:p w14:paraId="1ECF1271">
            <w:pPr>
              <w:jc w:val="center"/>
              <w:rPr>
                <w:rFonts w:ascii="宋体" w:hAnsi="宋体" w:eastAsia="宋体" w:cs="Arial"/>
                <w:color w:val="000000"/>
                <w:kern w:val="0"/>
                <w:sz w:val="20"/>
                <w:szCs w:val="21"/>
              </w:rPr>
            </w:pPr>
          </w:p>
        </w:tc>
        <w:tc>
          <w:tcPr>
            <w:tcW w:w="5528" w:type="dxa"/>
            <w:tcBorders>
              <w:bottom w:val="single" w:color="auto" w:sz="4" w:space="0"/>
            </w:tcBorders>
            <w:vAlign w:val="center"/>
          </w:tcPr>
          <w:p w14:paraId="2ED10366">
            <w:pPr>
              <w:widowControl/>
              <w:rPr>
                <w:rFonts w:ascii="宋体" w:hAnsi="宋体" w:eastAsia="宋体" w:cs="Arial"/>
                <w:color w:val="000000"/>
                <w:kern w:val="0"/>
                <w:sz w:val="20"/>
                <w:szCs w:val="21"/>
              </w:rPr>
            </w:pPr>
            <w:r>
              <w:rPr>
                <w:rFonts w:hint="eastAsia" w:ascii="宋体" w:hAnsi="宋体" w:eastAsia="宋体" w:cs="Arial"/>
                <w:color w:val="000000"/>
                <w:kern w:val="0"/>
                <w:sz w:val="20"/>
                <w:szCs w:val="21"/>
              </w:rPr>
              <w:t>基本能在规定时间内排除故障，偶有（1次</w:t>
            </w:r>
            <w:r>
              <w:rPr>
                <w:rFonts w:ascii="宋体" w:hAnsi="宋体" w:eastAsia="宋体" w:cs="Arial"/>
                <w:color w:val="000000"/>
                <w:kern w:val="0"/>
                <w:sz w:val="20"/>
                <w:szCs w:val="21"/>
              </w:rPr>
              <w:t>）</w:t>
            </w:r>
            <w:r>
              <w:rPr>
                <w:rFonts w:hint="eastAsia" w:ascii="宋体" w:hAnsi="宋体" w:eastAsia="宋体" w:cs="Arial"/>
                <w:color w:val="000000"/>
                <w:kern w:val="0"/>
                <w:sz w:val="20"/>
                <w:szCs w:val="21"/>
              </w:rPr>
              <w:t>超出但未造成正常</w:t>
            </w:r>
            <w:r>
              <w:rPr>
                <w:rFonts w:ascii="宋体" w:hAnsi="宋体" w:eastAsia="宋体" w:cs="Arial"/>
                <w:color w:val="000000"/>
                <w:kern w:val="0"/>
                <w:sz w:val="20"/>
                <w:szCs w:val="21"/>
              </w:rPr>
              <w:t>运行</w:t>
            </w:r>
            <w:r>
              <w:rPr>
                <w:rFonts w:hint="eastAsia" w:ascii="宋体" w:hAnsi="宋体" w:eastAsia="宋体" w:cs="Arial"/>
                <w:color w:val="000000"/>
                <w:kern w:val="0"/>
                <w:sz w:val="20"/>
                <w:szCs w:val="21"/>
              </w:rPr>
              <w:t>影响。</w:t>
            </w:r>
          </w:p>
        </w:tc>
        <w:tc>
          <w:tcPr>
            <w:tcW w:w="851" w:type="dxa"/>
            <w:tcBorders>
              <w:bottom w:val="single" w:color="auto" w:sz="4" w:space="0"/>
            </w:tcBorders>
            <w:vAlign w:val="center"/>
          </w:tcPr>
          <w:p w14:paraId="3BCE6022">
            <w:pPr>
              <w:jc w:val="center"/>
              <w:rPr>
                <w:rFonts w:ascii="Calibri" w:hAnsi="Calibri" w:eastAsia="宋体" w:cs="Times New Roman"/>
                <w:kern w:val="0"/>
                <w:sz w:val="20"/>
                <w:szCs w:val="21"/>
              </w:rPr>
            </w:pPr>
            <w:r>
              <w:rPr>
                <w:rFonts w:hint="eastAsia" w:ascii="Calibri" w:hAnsi="Calibri" w:eastAsia="宋体" w:cs="Times New Roman"/>
                <w:kern w:val="0"/>
                <w:sz w:val="20"/>
                <w:szCs w:val="21"/>
              </w:rPr>
              <w:t>0~19</w:t>
            </w:r>
          </w:p>
        </w:tc>
        <w:tc>
          <w:tcPr>
            <w:tcW w:w="708" w:type="dxa"/>
            <w:vMerge w:val="continue"/>
          </w:tcPr>
          <w:p w14:paraId="00AEF43E">
            <w:pPr>
              <w:rPr>
                <w:rFonts w:ascii="Calibri" w:hAnsi="Calibri" w:eastAsia="宋体" w:cs="Times New Roman"/>
                <w:kern w:val="0"/>
                <w:sz w:val="20"/>
                <w:szCs w:val="21"/>
              </w:rPr>
            </w:pPr>
          </w:p>
        </w:tc>
      </w:tr>
      <w:tr w14:paraId="5758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 w:type="dxa"/>
            <w:vMerge w:val="continue"/>
            <w:vAlign w:val="center"/>
          </w:tcPr>
          <w:p w14:paraId="7B508200">
            <w:pPr>
              <w:jc w:val="center"/>
              <w:rPr>
                <w:rFonts w:ascii="宋体" w:hAnsi="宋体" w:eastAsia="宋体" w:cs="Times New Roman"/>
                <w:kern w:val="0"/>
                <w:sz w:val="20"/>
                <w:szCs w:val="21"/>
              </w:rPr>
            </w:pPr>
          </w:p>
        </w:tc>
        <w:tc>
          <w:tcPr>
            <w:tcW w:w="1101" w:type="dxa"/>
            <w:vMerge w:val="continue"/>
            <w:vAlign w:val="center"/>
          </w:tcPr>
          <w:p w14:paraId="13C288F3">
            <w:pPr>
              <w:widowControl/>
              <w:jc w:val="center"/>
              <w:rPr>
                <w:rFonts w:ascii="宋体" w:hAnsi="宋体" w:eastAsia="宋体" w:cs="宋体"/>
                <w:color w:val="000000"/>
                <w:kern w:val="0"/>
                <w:sz w:val="20"/>
                <w:szCs w:val="21"/>
              </w:rPr>
            </w:pPr>
          </w:p>
        </w:tc>
        <w:tc>
          <w:tcPr>
            <w:tcW w:w="709" w:type="dxa"/>
            <w:vMerge w:val="continue"/>
            <w:vAlign w:val="center"/>
          </w:tcPr>
          <w:p w14:paraId="778D397D">
            <w:pPr>
              <w:widowControl/>
              <w:jc w:val="center"/>
              <w:rPr>
                <w:rFonts w:ascii="宋体" w:hAnsi="宋体" w:eastAsia="宋体" w:cs="Arial"/>
                <w:color w:val="000000"/>
                <w:kern w:val="0"/>
                <w:sz w:val="20"/>
                <w:szCs w:val="21"/>
              </w:rPr>
            </w:pPr>
          </w:p>
        </w:tc>
        <w:tc>
          <w:tcPr>
            <w:tcW w:w="5528" w:type="dxa"/>
            <w:tcBorders>
              <w:bottom w:val="single" w:color="auto" w:sz="4" w:space="0"/>
            </w:tcBorders>
            <w:vAlign w:val="center"/>
          </w:tcPr>
          <w:p w14:paraId="6C92F6E3">
            <w:pPr>
              <w:widowControl/>
              <w:rPr>
                <w:rFonts w:ascii="宋体" w:hAnsi="宋体" w:eastAsia="宋体" w:cs="Arial"/>
                <w:color w:val="000000"/>
                <w:kern w:val="0"/>
                <w:sz w:val="20"/>
                <w:szCs w:val="21"/>
              </w:rPr>
            </w:pPr>
            <w:r>
              <w:rPr>
                <w:rFonts w:ascii="宋体" w:hAnsi="宋体" w:eastAsia="宋体" w:cs="Arial"/>
                <w:color w:val="000000"/>
                <w:kern w:val="0"/>
                <w:sz w:val="20"/>
                <w:szCs w:val="21"/>
              </w:rPr>
              <w:t>3</w:t>
            </w:r>
            <w:r>
              <w:rPr>
                <w:rFonts w:hint="eastAsia" w:ascii="宋体" w:hAnsi="宋体" w:eastAsia="宋体" w:cs="Arial"/>
                <w:color w:val="000000"/>
                <w:kern w:val="0"/>
                <w:sz w:val="20"/>
                <w:szCs w:val="21"/>
              </w:rPr>
              <w:t>次未能在规定时间内排除故障，造成较大运行影响。</w:t>
            </w:r>
          </w:p>
        </w:tc>
        <w:tc>
          <w:tcPr>
            <w:tcW w:w="851" w:type="dxa"/>
            <w:tcBorders>
              <w:bottom w:val="single" w:color="auto" w:sz="4" w:space="0"/>
            </w:tcBorders>
            <w:vAlign w:val="center"/>
          </w:tcPr>
          <w:p w14:paraId="59FD4DC3">
            <w:pPr>
              <w:jc w:val="center"/>
              <w:rPr>
                <w:rFonts w:ascii="Calibri" w:hAnsi="Calibri" w:eastAsia="宋体" w:cs="Times New Roman"/>
                <w:kern w:val="0"/>
                <w:sz w:val="20"/>
                <w:szCs w:val="21"/>
              </w:rPr>
            </w:pPr>
            <w:r>
              <w:rPr>
                <w:rFonts w:hint="eastAsia" w:ascii="Calibri" w:hAnsi="Calibri" w:eastAsia="宋体" w:cs="Times New Roman"/>
                <w:kern w:val="0"/>
                <w:sz w:val="20"/>
                <w:szCs w:val="21"/>
              </w:rPr>
              <w:t>-</w:t>
            </w:r>
            <w:r>
              <w:rPr>
                <w:rFonts w:hint="eastAsia" w:ascii="宋体" w:hAnsi="宋体" w:eastAsia="宋体" w:cs="Arial"/>
                <w:color w:val="000000"/>
                <w:kern w:val="0"/>
                <w:sz w:val="20"/>
                <w:szCs w:val="21"/>
              </w:rPr>
              <w:t>20</w:t>
            </w:r>
          </w:p>
        </w:tc>
        <w:tc>
          <w:tcPr>
            <w:tcW w:w="708" w:type="dxa"/>
            <w:vMerge w:val="continue"/>
          </w:tcPr>
          <w:p w14:paraId="64483183">
            <w:pPr>
              <w:rPr>
                <w:rFonts w:ascii="Calibri" w:hAnsi="Calibri" w:eastAsia="宋体" w:cs="Times New Roman"/>
                <w:kern w:val="0"/>
                <w:sz w:val="20"/>
                <w:szCs w:val="21"/>
              </w:rPr>
            </w:pPr>
          </w:p>
        </w:tc>
      </w:tr>
      <w:tr w14:paraId="63FA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 w:type="dxa"/>
            <w:vMerge w:val="restart"/>
            <w:vAlign w:val="center"/>
          </w:tcPr>
          <w:p w14:paraId="047BDD1C">
            <w:pPr>
              <w:jc w:val="center"/>
              <w:rPr>
                <w:rFonts w:ascii="宋体" w:hAnsi="宋体" w:eastAsia="宋体" w:cs="Times New Roman"/>
                <w:kern w:val="0"/>
                <w:sz w:val="20"/>
                <w:szCs w:val="21"/>
              </w:rPr>
            </w:pPr>
            <w:r>
              <w:rPr>
                <w:rFonts w:hint="eastAsia" w:ascii="宋体" w:hAnsi="宋体" w:eastAsia="宋体" w:cs="Times New Roman"/>
                <w:kern w:val="0"/>
                <w:sz w:val="20"/>
                <w:szCs w:val="21"/>
              </w:rPr>
              <w:t>4</w:t>
            </w:r>
          </w:p>
        </w:tc>
        <w:tc>
          <w:tcPr>
            <w:tcW w:w="1101" w:type="dxa"/>
            <w:vMerge w:val="restart"/>
            <w:vAlign w:val="center"/>
          </w:tcPr>
          <w:p w14:paraId="6EDE51D7">
            <w:pPr>
              <w:jc w:val="center"/>
              <w:rPr>
                <w:rFonts w:ascii="宋体" w:hAnsi="宋体" w:eastAsia="宋体" w:cs="Times New Roman"/>
                <w:kern w:val="0"/>
                <w:sz w:val="20"/>
                <w:szCs w:val="21"/>
              </w:rPr>
            </w:pPr>
            <w:r>
              <w:rPr>
                <w:rFonts w:hint="eastAsia" w:ascii="宋体" w:hAnsi="宋体" w:eastAsia="宋体" w:cs="Times New Roman"/>
                <w:kern w:val="0"/>
                <w:sz w:val="20"/>
                <w:szCs w:val="21"/>
              </w:rPr>
              <w:t>维修质量</w:t>
            </w:r>
          </w:p>
        </w:tc>
        <w:tc>
          <w:tcPr>
            <w:tcW w:w="709" w:type="dxa"/>
            <w:vMerge w:val="restart"/>
            <w:vAlign w:val="center"/>
          </w:tcPr>
          <w:p w14:paraId="212081F6">
            <w:pPr>
              <w:jc w:val="center"/>
              <w:rPr>
                <w:rFonts w:ascii="宋体" w:hAnsi="宋体" w:eastAsia="宋体" w:cs="Times New Roman"/>
                <w:kern w:val="0"/>
                <w:sz w:val="20"/>
                <w:szCs w:val="21"/>
              </w:rPr>
            </w:pPr>
            <w:r>
              <w:rPr>
                <w:rFonts w:hint="eastAsia" w:ascii="宋体" w:hAnsi="宋体" w:eastAsia="宋体" w:cs="Times New Roman"/>
                <w:kern w:val="0"/>
                <w:sz w:val="20"/>
                <w:szCs w:val="21"/>
              </w:rPr>
              <w:t>10</w:t>
            </w:r>
          </w:p>
        </w:tc>
        <w:tc>
          <w:tcPr>
            <w:tcW w:w="5528" w:type="dxa"/>
            <w:tcBorders>
              <w:bottom w:val="single" w:color="auto" w:sz="4" w:space="0"/>
            </w:tcBorders>
          </w:tcPr>
          <w:p w14:paraId="29B66229">
            <w:pPr>
              <w:rPr>
                <w:rFonts w:ascii="宋体" w:hAnsi="宋体" w:eastAsia="宋体" w:cs="Times New Roman"/>
                <w:kern w:val="0"/>
                <w:sz w:val="20"/>
                <w:szCs w:val="21"/>
              </w:rPr>
            </w:pPr>
            <w:r>
              <w:rPr>
                <w:rFonts w:hint="eastAsia" w:ascii="宋体" w:hAnsi="宋体" w:eastAsia="宋体" w:cs="Times New Roman"/>
                <w:kern w:val="0"/>
                <w:sz w:val="20"/>
                <w:szCs w:val="21"/>
              </w:rPr>
              <w:t>维修质量良好，无返修记录。</w:t>
            </w:r>
          </w:p>
        </w:tc>
        <w:tc>
          <w:tcPr>
            <w:tcW w:w="851" w:type="dxa"/>
            <w:tcBorders>
              <w:bottom w:val="single" w:color="auto" w:sz="4" w:space="0"/>
            </w:tcBorders>
            <w:vAlign w:val="center"/>
          </w:tcPr>
          <w:p w14:paraId="7F6DDE98">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708" w:type="dxa"/>
            <w:vMerge w:val="restart"/>
          </w:tcPr>
          <w:p w14:paraId="1517FA51">
            <w:pPr>
              <w:rPr>
                <w:rFonts w:ascii="Calibri" w:hAnsi="Calibri" w:eastAsia="宋体" w:cs="Times New Roman"/>
                <w:kern w:val="0"/>
                <w:sz w:val="20"/>
                <w:szCs w:val="21"/>
              </w:rPr>
            </w:pPr>
          </w:p>
        </w:tc>
      </w:tr>
      <w:tr w14:paraId="4DC6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0" w:type="dxa"/>
            <w:vMerge w:val="continue"/>
            <w:vAlign w:val="center"/>
          </w:tcPr>
          <w:p w14:paraId="6B96B911">
            <w:pPr>
              <w:jc w:val="center"/>
              <w:rPr>
                <w:rFonts w:ascii="宋体" w:hAnsi="宋体" w:eastAsia="宋体" w:cs="Times New Roman"/>
                <w:kern w:val="0"/>
                <w:sz w:val="20"/>
                <w:szCs w:val="21"/>
              </w:rPr>
            </w:pPr>
          </w:p>
        </w:tc>
        <w:tc>
          <w:tcPr>
            <w:tcW w:w="1101" w:type="dxa"/>
            <w:vMerge w:val="continue"/>
            <w:vAlign w:val="center"/>
          </w:tcPr>
          <w:p w14:paraId="09021265">
            <w:pPr>
              <w:jc w:val="center"/>
              <w:rPr>
                <w:rFonts w:ascii="宋体" w:hAnsi="宋体" w:eastAsia="宋体" w:cs="Times New Roman"/>
                <w:kern w:val="0"/>
                <w:sz w:val="20"/>
                <w:szCs w:val="21"/>
              </w:rPr>
            </w:pPr>
          </w:p>
        </w:tc>
        <w:tc>
          <w:tcPr>
            <w:tcW w:w="709" w:type="dxa"/>
            <w:vMerge w:val="continue"/>
            <w:vAlign w:val="center"/>
          </w:tcPr>
          <w:p w14:paraId="61A1EB1E">
            <w:pPr>
              <w:jc w:val="cente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1ED0389D">
            <w:pPr>
              <w:rPr>
                <w:rFonts w:ascii="宋体" w:hAnsi="宋体" w:eastAsia="宋体" w:cs="Times New Roman"/>
                <w:kern w:val="0"/>
                <w:sz w:val="20"/>
                <w:szCs w:val="21"/>
              </w:rPr>
            </w:pPr>
            <w:r>
              <w:rPr>
                <w:rFonts w:hint="eastAsia" w:ascii="宋体" w:hAnsi="宋体" w:eastAsia="宋体" w:cs="Times New Roman"/>
                <w:kern w:val="0"/>
                <w:sz w:val="20"/>
                <w:szCs w:val="21"/>
              </w:rPr>
              <w:t>偶有设备返修记录，但未造成影响。</w:t>
            </w:r>
          </w:p>
        </w:tc>
        <w:tc>
          <w:tcPr>
            <w:tcW w:w="851" w:type="dxa"/>
            <w:tcBorders>
              <w:top w:val="single" w:color="auto" w:sz="4" w:space="0"/>
              <w:bottom w:val="single" w:color="auto" w:sz="4" w:space="0"/>
            </w:tcBorders>
            <w:vAlign w:val="center"/>
          </w:tcPr>
          <w:p w14:paraId="548E3A43">
            <w:pPr>
              <w:jc w:val="center"/>
              <w:rPr>
                <w:rFonts w:ascii="Calibri" w:hAnsi="Calibri" w:eastAsia="宋体" w:cs="Times New Roman"/>
                <w:kern w:val="0"/>
                <w:sz w:val="20"/>
                <w:szCs w:val="21"/>
              </w:rPr>
            </w:pPr>
            <w:r>
              <w:rPr>
                <w:rFonts w:hint="eastAsia" w:ascii="Calibri" w:hAnsi="Calibri" w:eastAsia="宋体" w:cs="Times New Roman"/>
                <w:kern w:val="0"/>
                <w:sz w:val="20"/>
                <w:szCs w:val="21"/>
              </w:rPr>
              <w:t>0</w:t>
            </w:r>
            <w:r>
              <w:rPr>
                <w:rFonts w:hint="eastAsia" w:ascii="宋体" w:hAnsi="宋体" w:eastAsia="宋体" w:cs="Times New Roman"/>
                <w:kern w:val="0"/>
                <w:sz w:val="20"/>
                <w:szCs w:val="21"/>
              </w:rPr>
              <w:t>～9</w:t>
            </w:r>
          </w:p>
        </w:tc>
        <w:tc>
          <w:tcPr>
            <w:tcW w:w="708" w:type="dxa"/>
            <w:vMerge w:val="continue"/>
          </w:tcPr>
          <w:p w14:paraId="662908B7">
            <w:pPr>
              <w:rPr>
                <w:rFonts w:ascii="Calibri" w:hAnsi="Calibri" w:eastAsia="宋体" w:cs="Times New Roman"/>
                <w:kern w:val="0"/>
                <w:sz w:val="20"/>
                <w:szCs w:val="21"/>
              </w:rPr>
            </w:pPr>
          </w:p>
        </w:tc>
      </w:tr>
      <w:tr w14:paraId="02EA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50" w:type="dxa"/>
            <w:vMerge w:val="continue"/>
            <w:vAlign w:val="center"/>
          </w:tcPr>
          <w:p w14:paraId="3A9BE91E">
            <w:pPr>
              <w:jc w:val="center"/>
              <w:rPr>
                <w:rFonts w:ascii="宋体" w:hAnsi="宋体" w:eastAsia="宋体" w:cs="Times New Roman"/>
                <w:kern w:val="0"/>
                <w:sz w:val="20"/>
                <w:szCs w:val="21"/>
              </w:rPr>
            </w:pPr>
          </w:p>
        </w:tc>
        <w:tc>
          <w:tcPr>
            <w:tcW w:w="1101" w:type="dxa"/>
            <w:vMerge w:val="continue"/>
            <w:vAlign w:val="center"/>
          </w:tcPr>
          <w:p w14:paraId="38513F8A">
            <w:pPr>
              <w:jc w:val="center"/>
              <w:rPr>
                <w:rFonts w:ascii="宋体" w:hAnsi="宋体" w:eastAsia="宋体" w:cs="Times New Roman"/>
                <w:kern w:val="0"/>
                <w:sz w:val="20"/>
                <w:szCs w:val="21"/>
              </w:rPr>
            </w:pPr>
          </w:p>
        </w:tc>
        <w:tc>
          <w:tcPr>
            <w:tcW w:w="709" w:type="dxa"/>
            <w:vMerge w:val="continue"/>
            <w:vAlign w:val="center"/>
          </w:tcPr>
          <w:p w14:paraId="4DF787D4">
            <w:pPr>
              <w:jc w:val="center"/>
              <w:rPr>
                <w:rFonts w:ascii="宋体" w:hAnsi="宋体" w:eastAsia="宋体" w:cs="Times New Roman"/>
                <w:kern w:val="0"/>
                <w:sz w:val="20"/>
                <w:szCs w:val="21"/>
              </w:rPr>
            </w:pPr>
          </w:p>
        </w:tc>
        <w:tc>
          <w:tcPr>
            <w:tcW w:w="5528" w:type="dxa"/>
            <w:tcBorders>
              <w:top w:val="single" w:color="auto" w:sz="4" w:space="0"/>
            </w:tcBorders>
          </w:tcPr>
          <w:p w14:paraId="20AB10C6">
            <w:pPr>
              <w:rPr>
                <w:rFonts w:ascii="宋体" w:hAnsi="宋体" w:eastAsia="宋体" w:cs="Times New Roman"/>
                <w:kern w:val="0"/>
                <w:sz w:val="20"/>
                <w:szCs w:val="21"/>
              </w:rPr>
            </w:pPr>
            <w:r>
              <w:rPr>
                <w:rFonts w:hint="eastAsia" w:ascii="宋体" w:hAnsi="宋体" w:eastAsia="宋体" w:cs="Times New Roman"/>
                <w:kern w:val="0"/>
                <w:sz w:val="20"/>
                <w:szCs w:val="21"/>
              </w:rPr>
              <w:t>3次以上设备返修记录，造成较大影响或投诉。</w:t>
            </w:r>
          </w:p>
        </w:tc>
        <w:tc>
          <w:tcPr>
            <w:tcW w:w="851" w:type="dxa"/>
            <w:tcBorders>
              <w:top w:val="single" w:color="auto" w:sz="4" w:space="0"/>
            </w:tcBorders>
            <w:vAlign w:val="center"/>
          </w:tcPr>
          <w:p w14:paraId="4A343721">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708" w:type="dxa"/>
            <w:vMerge w:val="continue"/>
          </w:tcPr>
          <w:p w14:paraId="202970C4">
            <w:pPr>
              <w:rPr>
                <w:rFonts w:ascii="Calibri" w:hAnsi="Calibri" w:eastAsia="宋体" w:cs="Times New Roman"/>
                <w:kern w:val="0"/>
                <w:sz w:val="20"/>
                <w:szCs w:val="21"/>
              </w:rPr>
            </w:pPr>
          </w:p>
        </w:tc>
      </w:tr>
      <w:tr w14:paraId="78CA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0" w:type="dxa"/>
            <w:vMerge w:val="restart"/>
            <w:vAlign w:val="center"/>
          </w:tcPr>
          <w:p w14:paraId="53884840">
            <w:pPr>
              <w:jc w:val="center"/>
              <w:rPr>
                <w:rFonts w:ascii="宋体" w:hAnsi="宋体" w:eastAsia="宋体" w:cs="Times New Roman"/>
                <w:kern w:val="0"/>
                <w:sz w:val="20"/>
                <w:szCs w:val="21"/>
              </w:rPr>
            </w:pPr>
            <w:r>
              <w:rPr>
                <w:rFonts w:hint="eastAsia" w:ascii="宋体" w:hAnsi="宋体" w:eastAsia="宋体" w:cs="Times New Roman"/>
                <w:kern w:val="0"/>
                <w:sz w:val="20"/>
                <w:szCs w:val="21"/>
              </w:rPr>
              <w:t>6</w:t>
            </w:r>
          </w:p>
        </w:tc>
        <w:tc>
          <w:tcPr>
            <w:tcW w:w="1101" w:type="dxa"/>
            <w:vMerge w:val="restart"/>
            <w:vAlign w:val="center"/>
          </w:tcPr>
          <w:p w14:paraId="40EBA3A3">
            <w:pPr>
              <w:widowControl/>
              <w:jc w:val="center"/>
              <w:rPr>
                <w:rFonts w:ascii="宋体" w:hAnsi="宋体" w:eastAsia="宋体" w:cs="宋体"/>
                <w:color w:val="000000"/>
                <w:kern w:val="0"/>
                <w:sz w:val="20"/>
                <w:szCs w:val="21"/>
              </w:rPr>
            </w:pPr>
            <w:r>
              <w:rPr>
                <w:rFonts w:hint="eastAsia" w:ascii="宋体" w:hAnsi="宋体" w:eastAsia="宋体" w:cs="宋体"/>
                <w:color w:val="000000"/>
                <w:kern w:val="0"/>
                <w:sz w:val="20"/>
                <w:szCs w:val="21"/>
              </w:rPr>
              <w:t>设备重大故障情况</w:t>
            </w:r>
          </w:p>
        </w:tc>
        <w:tc>
          <w:tcPr>
            <w:tcW w:w="709" w:type="dxa"/>
            <w:vMerge w:val="restart"/>
            <w:vAlign w:val="center"/>
          </w:tcPr>
          <w:p w14:paraId="1E257CFC">
            <w:pPr>
              <w:jc w:val="center"/>
              <w:rPr>
                <w:rFonts w:ascii="宋体" w:hAnsi="宋体" w:eastAsia="宋体" w:cs="宋体"/>
                <w:color w:val="000000"/>
                <w:kern w:val="0"/>
                <w:sz w:val="20"/>
                <w:szCs w:val="21"/>
              </w:rPr>
            </w:pPr>
            <w:r>
              <w:rPr>
                <w:rFonts w:hint="eastAsia" w:ascii="宋体" w:hAnsi="宋体" w:eastAsia="宋体" w:cs="Arial"/>
                <w:color w:val="000000"/>
                <w:kern w:val="0"/>
                <w:sz w:val="20"/>
                <w:szCs w:val="21"/>
              </w:rPr>
              <w:t>10</w:t>
            </w:r>
          </w:p>
        </w:tc>
        <w:tc>
          <w:tcPr>
            <w:tcW w:w="5528" w:type="dxa"/>
            <w:tcBorders>
              <w:bottom w:val="single" w:color="auto" w:sz="4" w:space="0"/>
            </w:tcBorders>
            <w:vAlign w:val="center"/>
          </w:tcPr>
          <w:p w14:paraId="19AE3F09">
            <w:pPr>
              <w:widowControl/>
              <w:rPr>
                <w:rFonts w:ascii="宋体" w:hAnsi="宋体" w:eastAsia="宋体" w:cs="Arial"/>
                <w:color w:val="000000"/>
                <w:kern w:val="0"/>
                <w:sz w:val="20"/>
                <w:szCs w:val="21"/>
              </w:rPr>
            </w:pPr>
            <w:r>
              <w:rPr>
                <w:rFonts w:hint="eastAsia" w:ascii="宋体" w:hAnsi="宋体" w:eastAsia="宋体" w:cs="Arial"/>
                <w:color w:val="000000"/>
                <w:kern w:val="0"/>
                <w:sz w:val="20"/>
                <w:szCs w:val="21"/>
              </w:rPr>
              <w:t>维保设备无严重故障发生，</w:t>
            </w:r>
            <w:r>
              <w:rPr>
                <w:rFonts w:hint="eastAsia" w:ascii="宋体" w:hAnsi="宋体" w:eastAsia="宋体" w:cs="Times New Roman"/>
                <w:kern w:val="0"/>
                <w:sz w:val="20"/>
                <w:szCs w:val="21"/>
              </w:rPr>
              <w:t>无严重影响服务质量的关键事件或安全事件。</w:t>
            </w:r>
          </w:p>
        </w:tc>
        <w:tc>
          <w:tcPr>
            <w:tcW w:w="851" w:type="dxa"/>
            <w:tcBorders>
              <w:bottom w:val="single" w:color="auto" w:sz="4" w:space="0"/>
            </w:tcBorders>
            <w:vAlign w:val="center"/>
          </w:tcPr>
          <w:p w14:paraId="44FA9DA7">
            <w:pPr>
              <w:widowControl/>
              <w:jc w:val="center"/>
              <w:rPr>
                <w:rFonts w:ascii="黑体" w:hAnsi="黑体" w:eastAsia="黑体" w:cs="Arial"/>
                <w:color w:val="000000"/>
                <w:kern w:val="0"/>
                <w:sz w:val="20"/>
                <w:szCs w:val="21"/>
              </w:rPr>
            </w:pPr>
            <w:r>
              <w:rPr>
                <w:rFonts w:hint="eastAsia" w:ascii="黑体" w:hAnsi="黑体" w:eastAsia="黑体" w:cs="Arial"/>
                <w:color w:val="000000"/>
                <w:kern w:val="0"/>
                <w:sz w:val="20"/>
                <w:szCs w:val="21"/>
              </w:rPr>
              <w:t>10</w:t>
            </w:r>
          </w:p>
        </w:tc>
        <w:tc>
          <w:tcPr>
            <w:tcW w:w="708" w:type="dxa"/>
            <w:vMerge w:val="restart"/>
          </w:tcPr>
          <w:p w14:paraId="391FADDA">
            <w:pPr>
              <w:rPr>
                <w:rFonts w:ascii="Calibri" w:hAnsi="Calibri" w:eastAsia="宋体" w:cs="Times New Roman"/>
                <w:kern w:val="0"/>
                <w:sz w:val="20"/>
                <w:szCs w:val="21"/>
              </w:rPr>
            </w:pPr>
          </w:p>
        </w:tc>
      </w:tr>
      <w:tr w14:paraId="1304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0" w:type="dxa"/>
            <w:vMerge w:val="continue"/>
            <w:vAlign w:val="center"/>
          </w:tcPr>
          <w:p w14:paraId="1490D9F0">
            <w:pPr>
              <w:jc w:val="center"/>
              <w:rPr>
                <w:rFonts w:ascii="宋体" w:hAnsi="宋体" w:eastAsia="宋体" w:cs="Times New Roman"/>
                <w:kern w:val="0"/>
                <w:sz w:val="20"/>
                <w:szCs w:val="21"/>
              </w:rPr>
            </w:pPr>
          </w:p>
        </w:tc>
        <w:tc>
          <w:tcPr>
            <w:tcW w:w="1101" w:type="dxa"/>
            <w:vMerge w:val="continue"/>
            <w:vAlign w:val="center"/>
          </w:tcPr>
          <w:p w14:paraId="45CC38EA">
            <w:pPr>
              <w:jc w:val="center"/>
              <w:rPr>
                <w:rFonts w:ascii="宋体" w:hAnsi="宋体" w:eastAsia="宋体" w:cs="Times New Roman"/>
                <w:kern w:val="0"/>
                <w:sz w:val="20"/>
                <w:szCs w:val="21"/>
              </w:rPr>
            </w:pPr>
          </w:p>
        </w:tc>
        <w:tc>
          <w:tcPr>
            <w:tcW w:w="709" w:type="dxa"/>
            <w:vMerge w:val="continue"/>
            <w:vAlign w:val="center"/>
          </w:tcPr>
          <w:p w14:paraId="29D85CBA">
            <w:pPr>
              <w:jc w:val="center"/>
              <w:rPr>
                <w:rFonts w:ascii="宋体" w:hAnsi="宋体" w:eastAsia="宋体" w:cs="Times New Roman"/>
                <w:kern w:val="0"/>
                <w:sz w:val="20"/>
                <w:szCs w:val="21"/>
              </w:rPr>
            </w:pPr>
          </w:p>
        </w:tc>
        <w:tc>
          <w:tcPr>
            <w:tcW w:w="5528" w:type="dxa"/>
            <w:tcBorders>
              <w:top w:val="single" w:color="auto" w:sz="4" w:space="0"/>
              <w:bottom w:val="single" w:color="auto" w:sz="4" w:space="0"/>
            </w:tcBorders>
            <w:vAlign w:val="center"/>
          </w:tcPr>
          <w:p w14:paraId="407D96F1">
            <w:pPr>
              <w:rPr>
                <w:rFonts w:ascii="宋体" w:hAnsi="宋体" w:eastAsia="宋体" w:cs="Times New Roman"/>
                <w:kern w:val="0"/>
                <w:sz w:val="20"/>
                <w:szCs w:val="21"/>
              </w:rPr>
            </w:pPr>
            <w:r>
              <w:rPr>
                <w:rFonts w:hint="eastAsia" w:ascii="宋体" w:hAnsi="宋体" w:eastAsia="宋体" w:cs="Arial"/>
                <w:color w:val="000000"/>
                <w:kern w:val="0"/>
                <w:sz w:val="20"/>
                <w:szCs w:val="21"/>
              </w:rPr>
              <w:t>维保设备偶有（1次</w:t>
            </w:r>
            <w:r>
              <w:rPr>
                <w:rFonts w:ascii="宋体" w:hAnsi="宋体" w:eastAsia="宋体" w:cs="Arial"/>
                <w:color w:val="000000"/>
                <w:kern w:val="0"/>
                <w:sz w:val="20"/>
                <w:szCs w:val="21"/>
              </w:rPr>
              <w:t>）</w:t>
            </w:r>
            <w:r>
              <w:rPr>
                <w:rFonts w:hint="eastAsia" w:ascii="宋体" w:hAnsi="宋体" w:eastAsia="宋体" w:cs="Arial"/>
                <w:color w:val="000000"/>
                <w:kern w:val="0"/>
                <w:sz w:val="20"/>
                <w:szCs w:val="21"/>
              </w:rPr>
              <w:t>严重故障发生，能及时修复，无造成影响。</w:t>
            </w:r>
          </w:p>
        </w:tc>
        <w:tc>
          <w:tcPr>
            <w:tcW w:w="851" w:type="dxa"/>
            <w:tcBorders>
              <w:top w:val="single" w:color="auto" w:sz="4" w:space="0"/>
              <w:bottom w:val="single" w:color="auto" w:sz="4" w:space="0"/>
            </w:tcBorders>
            <w:vAlign w:val="center"/>
          </w:tcPr>
          <w:p w14:paraId="1C9E6585">
            <w:pPr>
              <w:jc w:val="center"/>
              <w:rPr>
                <w:rFonts w:ascii="Calibri" w:hAnsi="Calibri" w:eastAsia="宋体" w:cs="Times New Roman"/>
                <w:kern w:val="0"/>
                <w:sz w:val="20"/>
                <w:szCs w:val="21"/>
              </w:rPr>
            </w:pPr>
            <w:r>
              <w:rPr>
                <w:rFonts w:hint="eastAsia" w:ascii="黑体" w:hAnsi="黑体" w:eastAsia="黑体" w:cs="Arial"/>
                <w:color w:val="000000"/>
                <w:kern w:val="0"/>
                <w:sz w:val="20"/>
                <w:szCs w:val="21"/>
              </w:rPr>
              <w:t>0～9</w:t>
            </w:r>
          </w:p>
        </w:tc>
        <w:tc>
          <w:tcPr>
            <w:tcW w:w="708" w:type="dxa"/>
            <w:vMerge w:val="continue"/>
          </w:tcPr>
          <w:p w14:paraId="0144F18C">
            <w:pPr>
              <w:rPr>
                <w:rFonts w:ascii="Calibri" w:hAnsi="Calibri" w:eastAsia="宋体" w:cs="Times New Roman"/>
                <w:kern w:val="0"/>
                <w:sz w:val="20"/>
                <w:szCs w:val="21"/>
              </w:rPr>
            </w:pPr>
          </w:p>
        </w:tc>
      </w:tr>
      <w:tr w14:paraId="3AE7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0" w:type="dxa"/>
            <w:vMerge w:val="continue"/>
            <w:vAlign w:val="center"/>
          </w:tcPr>
          <w:p w14:paraId="53E4DFB8">
            <w:pPr>
              <w:jc w:val="center"/>
              <w:rPr>
                <w:rFonts w:ascii="宋体" w:hAnsi="宋体" w:eastAsia="宋体" w:cs="Times New Roman"/>
                <w:kern w:val="0"/>
                <w:sz w:val="20"/>
                <w:szCs w:val="21"/>
              </w:rPr>
            </w:pPr>
          </w:p>
        </w:tc>
        <w:tc>
          <w:tcPr>
            <w:tcW w:w="1101" w:type="dxa"/>
            <w:vMerge w:val="continue"/>
            <w:vAlign w:val="center"/>
          </w:tcPr>
          <w:p w14:paraId="5224906B">
            <w:pPr>
              <w:jc w:val="center"/>
              <w:rPr>
                <w:rFonts w:ascii="宋体" w:hAnsi="宋体" w:eastAsia="宋体" w:cs="Times New Roman"/>
                <w:kern w:val="0"/>
                <w:sz w:val="20"/>
                <w:szCs w:val="21"/>
              </w:rPr>
            </w:pPr>
          </w:p>
        </w:tc>
        <w:tc>
          <w:tcPr>
            <w:tcW w:w="709" w:type="dxa"/>
            <w:vMerge w:val="continue"/>
            <w:vAlign w:val="center"/>
          </w:tcPr>
          <w:p w14:paraId="0CB6AF3B">
            <w:pPr>
              <w:jc w:val="center"/>
              <w:rPr>
                <w:rFonts w:ascii="宋体" w:hAnsi="宋体" w:eastAsia="宋体" w:cs="Times New Roman"/>
                <w:kern w:val="0"/>
                <w:sz w:val="20"/>
                <w:szCs w:val="21"/>
              </w:rPr>
            </w:pPr>
          </w:p>
        </w:tc>
        <w:tc>
          <w:tcPr>
            <w:tcW w:w="5528" w:type="dxa"/>
            <w:tcBorders>
              <w:top w:val="single" w:color="auto" w:sz="4" w:space="0"/>
            </w:tcBorders>
            <w:vAlign w:val="center"/>
          </w:tcPr>
          <w:p w14:paraId="38607C9B">
            <w:pPr>
              <w:rPr>
                <w:rFonts w:ascii="宋体" w:hAnsi="宋体" w:eastAsia="宋体" w:cs="Times New Roman"/>
                <w:kern w:val="0"/>
                <w:sz w:val="20"/>
                <w:szCs w:val="21"/>
              </w:rPr>
            </w:pPr>
            <w:r>
              <w:rPr>
                <w:rFonts w:hint="eastAsia" w:ascii="宋体" w:hAnsi="宋体" w:eastAsia="宋体" w:cs="Arial"/>
                <w:color w:val="000000"/>
                <w:kern w:val="0"/>
                <w:sz w:val="20"/>
                <w:szCs w:val="21"/>
              </w:rPr>
              <w:t>维保设备有严重故障发生，未能及时修复，影响设备运行。</w:t>
            </w:r>
          </w:p>
        </w:tc>
        <w:tc>
          <w:tcPr>
            <w:tcW w:w="851" w:type="dxa"/>
            <w:tcBorders>
              <w:top w:val="single" w:color="auto" w:sz="4" w:space="0"/>
            </w:tcBorders>
            <w:vAlign w:val="center"/>
          </w:tcPr>
          <w:p w14:paraId="4CDBB274">
            <w:pPr>
              <w:jc w:val="center"/>
              <w:rPr>
                <w:rFonts w:ascii="Calibri" w:hAnsi="Calibri" w:eastAsia="宋体" w:cs="Times New Roman"/>
                <w:kern w:val="0"/>
                <w:sz w:val="20"/>
                <w:szCs w:val="21"/>
              </w:rPr>
            </w:pPr>
            <w:r>
              <w:rPr>
                <w:rFonts w:hint="eastAsia" w:ascii="黑体" w:hAnsi="黑体" w:eastAsia="黑体" w:cs="宋体"/>
                <w:color w:val="000000"/>
                <w:kern w:val="0"/>
                <w:sz w:val="20"/>
                <w:szCs w:val="21"/>
              </w:rPr>
              <w:t>-10</w:t>
            </w:r>
          </w:p>
        </w:tc>
        <w:tc>
          <w:tcPr>
            <w:tcW w:w="708" w:type="dxa"/>
            <w:vMerge w:val="continue"/>
          </w:tcPr>
          <w:p w14:paraId="5BFFE9D4">
            <w:pPr>
              <w:rPr>
                <w:rFonts w:ascii="Calibri" w:hAnsi="Calibri" w:eastAsia="宋体" w:cs="Times New Roman"/>
                <w:kern w:val="0"/>
                <w:sz w:val="20"/>
                <w:szCs w:val="21"/>
              </w:rPr>
            </w:pPr>
          </w:p>
        </w:tc>
      </w:tr>
      <w:tr w14:paraId="4D59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850" w:type="dxa"/>
            <w:vMerge w:val="restart"/>
            <w:vAlign w:val="center"/>
          </w:tcPr>
          <w:p w14:paraId="24D496C4">
            <w:pPr>
              <w:jc w:val="center"/>
              <w:rPr>
                <w:rFonts w:ascii="宋体" w:hAnsi="宋体" w:eastAsia="宋体" w:cs="Times New Roman"/>
                <w:kern w:val="0"/>
                <w:sz w:val="20"/>
                <w:szCs w:val="21"/>
              </w:rPr>
            </w:pPr>
            <w:r>
              <w:rPr>
                <w:rFonts w:hint="eastAsia" w:ascii="宋体" w:hAnsi="宋体" w:eastAsia="宋体" w:cs="Times New Roman"/>
                <w:kern w:val="0"/>
                <w:sz w:val="20"/>
                <w:szCs w:val="21"/>
              </w:rPr>
              <w:t>7</w:t>
            </w:r>
          </w:p>
        </w:tc>
        <w:tc>
          <w:tcPr>
            <w:tcW w:w="1101" w:type="dxa"/>
            <w:vMerge w:val="restart"/>
            <w:vAlign w:val="center"/>
          </w:tcPr>
          <w:p w14:paraId="00D84493">
            <w:pPr>
              <w:widowControl/>
              <w:jc w:val="center"/>
              <w:rPr>
                <w:rFonts w:ascii="宋体" w:hAnsi="宋体" w:eastAsia="宋体" w:cs="Arial"/>
                <w:color w:val="000000"/>
                <w:kern w:val="0"/>
                <w:sz w:val="20"/>
                <w:szCs w:val="21"/>
              </w:rPr>
            </w:pPr>
            <w:r>
              <w:rPr>
                <w:rFonts w:hint="eastAsia" w:ascii="宋体" w:hAnsi="宋体" w:eastAsia="宋体" w:cs="Arial"/>
                <w:color w:val="000000"/>
                <w:kern w:val="0"/>
                <w:sz w:val="20"/>
                <w:szCs w:val="21"/>
              </w:rPr>
              <w:t>零配件</w:t>
            </w:r>
          </w:p>
          <w:p w14:paraId="1706F4DF">
            <w:pPr>
              <w:widowControl/>
              <w:jc w:val="center"/>
              <w:rPr>
                <w:rFonts w:ascii="宋体" w:hAnsi="宋体" w:eastAsia="宋体" w:cs="Arial"/>
                <w:color w:val="000000"/>
                <w:kern w:val="0"/>
                <w:sz w:val="20"/>
                <w:szCs w:val="21"/>
              </w:rPr>
            </w:pPr>
            <w:r>
              <w:rPr>
                <w:rFonts w:hint="eastAsia" w:ascii="宋体" w:hAnsi="宋体" w:eastAsia="宋体" w:cs="Arial"/>
                <w:color w:val="000000"/>
                <w:kern w:val="0"/>
                <w:sz w:val="20"/>
                <w:szCs w:val="21"/>
              </w:rPr>
              <w:t>质量控制</w:t>
            </w:r>
          </w:p>
        </w:tc>
        <w:tc>
          <w:tcPr>
            <w:tcW w:w="709" w:type="dxa"/>
            <w:vMerge w:val="restart"/>
            <w:vAlign w:val="center"/>
          </w:tcPr>
          <w:p w14:paraId="7AC6D002">
            <w:pPr>
              <w:widowControl/>
              <w:jc w:val="center"/>
              <w:rPr>
                <w:rFonts w:ascii="宋体" w:hAnsi="宋体" w:eastAsia="宋体" w:cs="Arial"/>
                <w:color w:val="000000"/>
                <w:kern w:val="0"/>
                <w:sz w:val="20"/>
                <w:szCs w:val="21"/>
              </w:rPr>
            </w:pPr>
            <w:r>
              <w:rPr>
                <w:rFonts w:hint="eastAsia" w:ascii="宋体" w:hAnsi="宋体" w:eastAsia="宋体" w:cs="Arial"/>
                <w:color w:val="000000"/>
                <w:kern w:val="0"/>
                <w:sz w:val="20"/>
                <w:szCs w:val="21"/>
              </w:rPr>
              <w:t>1</w:t>
            </w:r>
            <w:r>
              <w:rPr>
                <w:rFonts w:ascii="宋体" w:hAnsi="宋体" w:eastAsia="宋体" w:cs="Arial"/>
                <w:color w:val="000000"/>
                <w:kern w:val="0"/>
                <w:sz w:val="20"/>
                <w:szCs w:val="21"/>
              </w:rPr>
              <w:t>0</w:t>
            </w:r>
          </w:p>
        </w:tc>
        <w:tc>
          <w:tcPr>
            <w:tcW w:w="5528" w:type="dxa"/>
            <w:tcBorders>
              <w:top w:val="single" w:color="auto" w:sz="4" w:space="0"/>
            </w:tcBorders>
            <w:vAlign w:val="center"/>
          </w:tcPr>
          <w:p w14:paraId="4C3748F4">
            <w:pPr>
              <w:widowControl/>
              <w:rPr>
                <w:rFonts w:ascii="宋体" w:hAnsi="宋体" w:eastAsia="宋体" w:cs="宋体"/>
                <w:color w:val="000000"/>
                <w:kern w:val="0"/>
                <w:sz w:val="20"/>
                <w:szCs w:val="21"/>
              </w:rPr>
            </w:pPr>
            <w:r>
              <w:rPr>
                <w:rFonts w:ascii="宋体" w:hAnsi="宋体" w:eastAsia="宋体" w:cs="Arial"/>
                <w:color w:val="000000"/>
                <w:kern w:val="0"/>
                <w:sz w:val="20"/>
                <w:szCs w:val="21"/>
              </w:rPr>
              <w:t>零配件更换及时符合合同要求</w:t>
            </w:r>
            <w:r>
              <w:rPr>
                <w:rFonts w:hint="eastAsia" w:ascii="宋体" w:hAnsi="宋体" w:eastAsia="宋体" w:cs="Arial"/>
                <w:color w:val="000000"/>
                <w:kern w:val="0"/>
                <w:sz w:val="20"/>
                <w:szCs w:val="21"/>
              </w:rPr>
              <w:t>。</w:t>
            </w:r>
          </w:p>
        </w:tc>
        <w:tc>
          <w:tcPr>
            <w:tcW w:w="851" w:type="dxa"/>
            <w:tcBorders>
              <w:top w:val="single" w:color="auto" w:sz="4" w:space="0"/>
            </w:tcBorders>
            <w:vAlign w:val="center"/>
          </w:tcPr>
          <w:p w14:paraId="2DA7E094">
            <w:pPr>
              <w:jc w:val="center"/>
              <w:rPr>
                <w:rFonts w:ascii="黑体" w:hAnsi="黑体" w:eastAsia="黑体" w:cs="宋体"/>
                <w:color w:val="000000"/>
                <w:kern w:val="0"/>
                <w:sz w:val="20"/>
                <w:szCs w:val="21"/>
              </w:rPr>
            </w:pPr>
            <w:r>
              <w:rPr>
                <w:rFonts w:hint="eastAsia" w:ascii="黑体" w:hAnsi="黑体" w:eastAsia="黑体" w:cs="Arial"/>
                <w:color w:val="000000"/>
                <w:kern w:val="0"/>
                <w:sz w:val="20"/>
                <w:szCs w:val="21"/>
              </w:rPr>
              <w:t>10</w:t>
            </w:r>
          </w:p>
        </w:tc>
        <w:tc>
          <w:tcPr>
            <w:tcW w:w="708" w:type="dxa"/>
            <w:vMerge w:val="restart"/>
            <w:vAlign w:val="center"/>
          </w:tcPr>
          <w:p w14:paraId="20CED7D0">
            <w:pPr>
              <w:widowControl/>
              <w:rPr>
                <w:rFonts w:ascii="黑体" w:hAnsi="黑体" w:eastAsia="黑体" w:cs="宋体"/>
                <w:color w:val="000000"/>
                <w:kern w:val="0"/>
                <w:sz w:val="20"/>
                <w:szCs w:val="21"/>
              </w:rPr>
            </w:pPr>
          </w:p>
        </w:tc>
      </w:tr>
      <w:tr w14:paraId="54E4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0" w:type="dxa"/>
            <w:vMerge w:val="continue"/>
            <w:vAlign w:val="center"/>
          </w:tcPr>
          <w:p w14:paraId="3585B58D">
            <w:pPr>
              <w:jc w:val="center"/>
              <w:rPr>
                <w:rFonts w:ascii="宋体" w:hAnsi="宋体" w:eastAsia="宋体" w:cs="Times New Roman"/>
                <w:kern w:val="0"/>
                <w:sz w:val="20"/>
                <w:szCs w:val="21"/>
              </w:rPr>
            </w:pPr>
          </w:p>
        </w:tc>
        <w:tc>
          <w:tcPr>
            <w:tcW w:w="1101" w:type="dxa"/>
            <w:vMerge w:val="continue"/>
            <w:vAlign w:val="center"/>
          </w:tcPr>
          <w:p w14:paraId="78B9A3E4">
            <w:pPr>
              <w:widowControl/>
              <w:jc w:val="center"/>
              <w:rPr>
                <w:rFonts w:ascii="宋体" w:hAnsi="宋体" w:eastAsia="宋体" w:cs="Arial"/>
                <w:color w:val="000000"/>
                <w:kern w:val="0"/>
                <w:sz w:val="20"/>
                <w:szCs w:val="21"/>
              </w:rPr>
            </w:pPr>
          </w:p>
        </w:tc>
        <w:tc>
          <w:tcPr>
            <w:tcW w:w="709" w:type="dxa"/>
            <w:vMerge w:val="continue"/>
            <w:vAlign w:val="center"/>
          </w:tcPr>
          <w:p w14:paraId="1B647793">
            <w:pPr>
              <w:widowControl/>
              <w:jc w:val="center"/>
              <w:rPr>
                <w:rFonts w:ascii="宋体" w:hAnsi="宋体" w:eastAsia="宋体" w:cs="Arial"/>
                <w:color w:val="000000"/>
                <w:kern w:val="0"/>
                <w:sz w:val="20"/>
                <w:szCs w:val="21"/>
              </w:rPr>
            </w:pPr>
          </w:p>
        </w:tc>
        <w:tc>
          <w:tcPr>
            <w:tcW w:w="5528" w:type="dxa"/>
            <w:tcBorders>
              <w:top w:val="single" w:color="auto" w:sz="4" w:space="0"/>
            </w:tcBorders>
            <w:vAlign w:val="center"/>
          </w:tcPr>
          <w:p w14:paraId="2AB04AD5">
            <w:pPr>
              <w:rPr>
                <w:rFonts w:ascii="宋体" w:hAnsi="宋体" w:eastAsia="宋体" w:cs="Times New Roman"/>
                <w:kern w:val="0"/>
                <w:sz w:val="20"/>
                <w:szCs w:val="21"/>
              </w:rPr>
            </w:pPr>
            <w:r>
              <w:rPr>
                <w:rFonts w:ascii="宋体" w:hAnsi="宋体" w:eastAsia="宋体" w:cs="Arial"/>
                <w:color w:val="000000"/>
                <w:kern w:val="0"/>
                <w:sz w:val="20"/>
                <w:szCs w:val="21"/>
              </w:rPr>
              <w:t>零配件更换较及时</w:t>
            </w:r>
            <w:r>
              <w:rPr>
                <w:rFonts w:hint="eastAsia" w:ascii="宋体" w:hAnsi="宋体" w:eastAsia="宋体" w:cs="Arial"/>
                <w:color w:val="000000"/>
                <w:kern w:val="0"/>
                <w:sz w:val="20"/>
                <w:szCs w:val="21"/>
              </w:rPr>
              <w:t>，超出</w:t>
            </w:r>
            <w:r>
              <w:rPr>
                <w:rFonts w:ascii="宋体" w:hAnsi="宋体" w:eastAsia="宋体" w:cs="Arial"/>
                <w:color w:val="000000"/>
                <w:kern w:val="0"/>
                <w:sz w:val="20"/>
                <w:szCs w:val="21"/>
              </w:rPr>
              <w:t>合同要求</w:t>
            </w:r>
            <w:r>
              <w:rPr>
                <w:rFonts w:hint="eastAsia" w:ascii="宋体" w:hAnsi="宋体" w:eastAsia="宋体" w:cs="Arial"/>
                <w:color w:val="000000"/>
                <w:kern w:val="0"/>
                <w:sz w:val="20"/>
                <w:szCs w:val="21"/>
              </w:rPr>
              <w:t>3天内。</w:t>
            </w:r>
          </w:p>
        </w:tc>
        <w:tc>
          <w:tcPr>
            <w:tcW w:w="851" w:type="dxa"/>
            <w:tcBorders>
              <w:top w:val="single" w:color="auto" w:sz="4" w:space="0"/>
            </w:tcBorders>
            <w:vAlign w:val="center"/>
          </w:tcPr>
          <w:p w14:paraId="49CA3974">
            <w:pPr>
              <w:jc w:val="center"/>
              <w:rPr>
                <w:rFonts w:ascii="黑体" w:hAnsi="黑体" w:eastAsia="黑体" w:cs="宋体"/>
                <w:color w:val="000000"/>
                <w:kern w:val="0"/>
                <w:sz w:val="20"/>
                <w:szCs w:val="21"/>
              </w:rPr>
            </w:pPr>
            <w:r>
              <w:rPr>
                <w:rFonts w:ascii="黑体" w:hAnsi="黑体" w:eastAsia="黑体" w:cs="Arial"/>
                <w:color w:val="000000"/>
                <w:kern w:val="0"/>
                <w:sz w:val="20"/>
                <w:szCs w:val="21"/>
              </w:rPr>
              <w:t>7</w:t>
            </w:r>
            <w:r>
              <w:rPr>
                <w:rFonts w:hint="eastAsia" w:ascii="黑体" w:hAnsi="黑体" w:eastAsia="黑体" w:cs="Arial"/>
                <w:color w:val="000000"/>
                <w:kern w:val="0"/>
                <w:sz w:val="20"/>
                <w:szCs w:val="21"/>
              </w:rPr>
              <w:t>～</w:t>
            </w:r>
            <w:r>
              <w:rPr>
                <w:rFonts w:ascii="黑体" w:hAnsi="黑体" w:eastAsia="黑体" w:cs="Arial"/>
                <w:color w:val="000000"/>
                <w:kern w:val="0"/>
                <w:sz w:val="20"/>
                <w:szCs w:val="21"/>
              </w:rPr>
              <w:t>9</w:t>
            </w:r>
          </w:p>
        </w:tc>
        <w:tc>
          <w:tcPr>
            <w:tcW w:w="708" w:type="dxa"/>
            <w:vMerge w:val="continue"/>
            <w:vAlign w:val="center"/>
          </w:tcPr>
          <w:p w14:paraId="04B5F571">
            <w:pPr>
              <w:widowControl/>
              <w:rPr>
                <w:rFonts w:ascii="黑体" w:hAnsi="黑体" w:eastAsia="黑体" w:cs="宋体"/>
                <w:color w:val="000000"/>
                <w:kern w:val="0"/>
                <w:sz w:val="20"/>
                <w:szCs w:val="21"/>
              </w:rPr>
            </w:pPr>
          </w:p>
        </w:tc>
      </w:tr>
      <w:tr w14:paraId="3B94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0" w:type="dxa"/>
            <w:vMerge w:val="continue"/>
            <w:vAlign w:val="center"/>
          </w:tcPr>
          <w:p w14:paraId="09ECF714">
            <w:pPr>
              <w:jc w:val="center"/>
              <w:rPr>
                <w:rFonts w:ascii="宋体" w:hAnsi="宋体" w:eastAsia="宋体" w:cs="Times New Roman"/>
                <w:kern w:val="0"/>
                <w:sz w:val="20"/>
                <w:szCs w:val="21"/>
              </w:rPr>
            </w:pPr>
          </w:p>
        </w:tc>
        <w:tc>
          <w:tcPr>
            <w:tcW w:w="1101" w:type="dxa"/>
            <w:vMerge w:val="continue"/>
            <w:vAlign w:val="center"/>
          </w:tcPr>
          <w:p w14:paraId="263B8661">
            <w:pPr>
              <w:widowControl/>
              <w:jc w:val="center"/>
              <w:rPr>
                <w:rFonts w:ascii="宋体" w:hAnsi="宋体" w:eastAsia="宋体" w:cs="Arial"/>
                <w:color w:val="000000"/>
                <w:kern w:val="0"/>
                <w:sz w:val="20"/>
                <w:szCs w:val="21"/>
              </w:rPr>
            </w:pPr>
          </w:p>
        </w:tc>
        <w:tc>
          <w:tcPr>
            <w:tcW w:w="709" w:type="dxa"/>
            <w:vMerge w:val="continue"/>
            <w:vAlign w:val="center"/>
          </w:tcPr>
          <w:p w14:paraId="5B352C15">
            <w:pPr>
              <w:widowControl/>
              <w:jc w:val="center"/>
              <w:rPr>
                <w:rFonts w:ascii="宋体" w:hAnsi="宋体" w:eastAsia="宋体" w:cs="Arial"/>
                <w:color w:val="000000"/>
                <w:kern w:val="0"/>
                <w:sz w:val="20"/>
                <w:szCs w:val="21"/>
              </w:rPr>
            </w:pPr>
          </w:p>
        </w:tc>
        <w:tc>
          <w:tcPr>
            <w:tcW w:w="5528" w:type="dxa"/>
            <w:tcBorders>
              <w:top w:val="single" w:color="auto" w:sz="4" w:space="0"/>
            </w:tcBorders>
            <w:vAlign w:val="center"/>
          </w:tcPr>
          <w:p w14:paraId="1991E308">
            <w:pPr>
              <w:rPr>
                <w:rFonts w:ascii="宋体" w:hAnsi="宋体" w:eastAsia="宋体" w:cs="Arial"/>
                <w:color w:val="000000"/>
                <w:kern w:val="0"/>
                <w:sz w:val="20"/>
                <w:szCs w:val="21"/>
              </w:rPr>
            </w:pPr>
            <w:r>
              <w:rPr>
                <w:rFonts w:ascii="宋体" w:hAnsi="宋体" w:eastAsia="宋体" w:cs="Arial"/>
                <w:color w:val="000000"/>
                <w:kern w:val="0"/>
                <w:sz w:val="20"/>
                <w:szCs w:val="21"/>
              </w:rPr>
              <w:t>零配件更换周期较长，超出合同要求3</w:t>
            </w:r>
            <w:r>
              <w:rPr>
                <w:rFonts w:hint="eastAsia" w:ascii="宋体" w:hAnsi="宋体" w:eastAsia="宋体" w:cs="Arial"/>
                <w:color w:val="000000"/>
                <w:kern w:val="0"/>
                <w:sz w:val="20"/>
                <w:szCs w:val="21"/>
              </w:rPr>
              <w:t>天以上。</w:t>
            </w:r>
          </w:p>
        </w:tc>
        <w:tc>
          <w:tcPr>
            <w:tcW w:w="851" w:type="dxa"/>
            <w:tcBorders>
              <w:top w:val="single" w:color="auto" w:sz="4" w:space="0"/>
            </w:tcBorders>
            <w:vAlign w:val="center"/>
          </w:tcPr>
          <w:p w14:paraId="1D9D883A">
            <w:pPr>
              <w:jc w:val="center"/>
              <w:rPr>
                <w:rFonts w:ascii="黑体" w:hAnsi="黑体" w:eastAsia="黑体" w:cs="宋体"/>
                <w:color w:val="000000"/>
                <w:kern w:val="0"/>
                <w:sz w:val="20"/>
                <w:szCs w:val="21"/>
              </w:rPr>
            </w:pPr>
            <w:r>
              <w:rPr>
                <w:rFonts w:hint="eastAsia" w:ascii="黑体" w:hAnsi="黑体" w:eastAsia="黑体" w:cs="宋体"/>
                <w:color w:val="000000"/>
                <w:kern w:val="0"/>
                <w:sz w:val="20"/>
                <w:szCs w:val="21"/>
              </w:rPr>
              <w:t>0</w:t>
            </w:r>
            <w:r>
              <w:rPr>
                <w:rFonts w:hint="eastAsia" w:ascii="黑体" w:hAnsi="黑体" w:eastAsia="黑体" w:cs="Arial"/>
                <w:color w:val="000000"/>
                <w:kern w:val="0"/>
                <w:sz w:val="20"/>
                <w:szCs w:val="21"/>
              </w:rPr>
              <w:t>～</w:t>
            </w:r>
            <w:r>
              <w:rPr>
                <w:rFonts w:ascii="黑体" w:hAnsi="黑体" w:eastAsia="黑体" w:cs="宋体"/>
                <w:color w:val="000000"/>
                <w:kern w:val="0"/>
                <w:sz w:val="20"/>
                <w:szCs w:val="21"/>
              </w:rPr>
              <w:t>6</w:t>
            </w:r>
          </w:p>
        </w:tc>
        <w:tc>
          <w:tcPr>
            <w:tcW w:w="708" w:type="dxa"/>
            <w:vMerge w:val="continue"/>
            <w:vAlign w:val="center"/>
          </w:tcPr>
          <w:p w14:paraId="62168CA0">
            <w:pPr>
              <w:widowControl/>
              <w:rPr>
                <w:rFonts w:ascii="黑体" w:hAnsi="黑体" w:eastAsia="黑体" w:cs="宋体"/>
                <w:color w:val="000000"/>
                <w:kern w:val="0"/>
                <w:sz w:val="20"/>
                <w:szCs w:val="21"/>
              </w:rPr>
            </w:pPr>
          </w:p>
        </w:tc>
      </w:tr>
      <w:tr w14:paraId="2979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0" w:type="dxa"/>
            <w:vMerge w:val="continue"/>
            <w:vAlign w:val="center"/>
          </w:tcPr>
          <w:p w14:paraId="662ECB4B">
            <w:pPr>
              <w:jc w:val="center"/>
              <w:rPr>
                <w:rFonts w:ascii="宋体" w:hAnsi="宋体" w:eastAsia="宋体" w:cs="Times New Roman"/>
                <w:kern w:val="0"/>
                <w:sz w:val="20"/>
                <w:szCs w:val="21"/>
              </w:rPr>
            </w:pPr>
          </w:p>
        </w:tc>
        <w:tc>
          <w:tcPr>
            <w:tcW w:w="1101" w:type="dxa"/>
            <w:vMerge w:val="continue"/>
            <w:vAlign w:val="center"/>
          </w:tcPr>
          <w:p w14:paraId="71125CBD">
            <w:pPr>
              <w:widowControl/>
              <w:jc w:val="center"/>
              <w:rPr>
                <w:rFonts w:ascii="宋体" w:hAnsi="宋体" w:eastAsia="宋体" w:cs="Arial"/>
                <w:color w:val="000000"/>
                <w:kern w:val="0"/>
                <w:sz w:val="20"/>
                <w:szCs w:val="21"/>
              </w:rPr>
            </w:pPr>
          </w:p>
        </w:tc>
        <w:tc>
          <w:tcPr>
            <w:tcW w:w="709" w:type="dxa"/>
            <w:vMerge w:val="continue"/>
            <w:vAlign w:val="center"/>
          </w:tcPr>
          <w:p w14:paraId="69A98188">
            <w:pPr>
              <w:widowControl/>
              <w:jc w:val="center"/>
              <w:rPr>
                <w:rFonts w:ascii="宋体" w:hAnsi="宋体" w:eastAsia="宋体" w:cs="Arial"/>
                <w:color w:val="000000"/>
                <w:kern w:val="0"/>
                <w:sz w:val="20"/>
                <w:szCs w:val="21"/>
              </w:rPr>
            </w:pPr>
          </w:p>
        </w:tc>
        <w:tc>
          <w:tcPr>
            <w:tcW w:w="5528" w:type="dxa"/>
            <w:tcBorders>
              <w:top w:val="single" w:color="auto" w:sz="4" w:space="0"/>
            </w:tcBorders>
            <w:vAlign w:val="center"/>
          </w:tcPr>
          <w:p w14:paraId="7E8DB018">
            <w:pPr>
              <w:rPr>
                <w:rFonts w:ascii="宋体" w:hAnsi="宋体" w:eastAsia="宋体" w:cs="Arial"/>
                <w:color w:val="000000"/>
                <w:kern w:val="0"/>
                <w:sz w:val="20"/>
                <w:szCs w:val="21"/>
              </w:rPr>
            </w:pPr>
            <w:r>
              <w:rPr>
                <w:rFonts w:hint="eastAsia" w:ascii="宋体" w:hAnsi="宋体" w:eastAsia="宋体" w:cs="Arial"/>
                <w:color w:val="000000"/>
                <w:kern w:val="0"/>
                <w:sz w:val="20"/>
                <w:szCs w:val="21"/>
              </w:rPr>
              <w:t>零</w:t>
            </w:r>
            <w:r>
              <w:rPr>
                <w:rFonts w:ascii="宋体" w:hAnsi="宋体" w:eastAsia="宋体" w:cs="Arial"/>
                <w:color w:val="000000"/>
                <w:kern w:val="0"/>
                <w:sz w:val="20"/>
                <w:szCs w:val="21"/>
              </w:rPr>
              <w:t>配件</w:t>
            </w:r>
            <w:r>
              <w:rPr>
                <w:rFonts w:hint="eastAsia" w:ascii="宋体" w:hAnsi="宋体" w:eastAsia="宋体" w:cs="Arial"/>
                <w:color w:val="000000"/>
                <w:kern w:val="0"/>
                <w:sz w:val="20"/>
                <w:szCs w:val="21"/>
              </w:rPr>
              <w:t>更换出现</w:t>
            </w:r>
            <w:r>
              <w:rPr>
                <w:rFonts w:ascii="宋体" w:hAnsi="宋体" w:eastAsia="宋体" w:cs="Arial"/>
                <w:color w:val="000000"/>
                <w:kern w:val="0"/>
                <w:sz w:val="20"/>
                <w:szCs w:val="21"/>
              </w:rPr>
              <w:t>假冒伪劣</w:t>
            </w:r>
            <w:r>
              <w:rPr>
                <w:rFonts w:hint="eastAsia" w:ascii="宋体" w:hAnsi="宋体" w:eastAsia="宋体" w:cs="Arial"/>
                <w:color w:val="000000"/>
                <w:kern w:val="0"/>
                <w:sz w:val="20"/>
                <w:szCs w:val="21"/>
              </w:rPr>
              <w:t>、</w:t>
            </w:r>
            <w:r>
              <w:rPr>
                <w:rFonts w:ascii="宋体" w:hAnsi="宋体" w:eastAsia="宋体" w:cs="Arial"/>
                <w:color w:val="000000"/>
                <w:kern w:val="0"/>
                <w:sz w:val="20"/>
                <w:szCs w:val="21"/>
              </w:rPr>
              <w:t>次品配件</w:t>
            </w:r>
            <w:r>
              <w:rPr>
                <w:rFonts w:hint="eastAsia" w:ascii="宋体" w:hAnsi="宋体" w:eastAsia="宋体" w:cs="Arial"/>
                <w:color w:val="000000"/>
                <w:kern w:val="0"/>
                <w:sz w:val="20"/>
                <w:szCs w:val="21"/>
              </w:rPr>
              <w:t>。</w:t>
            </w:r>
          </w:p>
        </w:tc>
        <w:tc>
          <w:tcPr>
            <w:tcW w:w="851" w:type="dxa"/>
            <w:tcBorders>
              <w:top w:val="single" w:color="auto" w:sz="4" w:space="0"/>
            </w:tcBorders>
            <w:vAlign w:val="center"/>
          </w:tcPr>
          <w:p w14:paraId="51EF3507">
            <w:pPr>
              <w:jc w:val="center"/>
              <w:rPr>
                <w:rFonts w:ascii="黑体" w:hAnsi="黑体" w:eastAsia="黑体" w:cs="宋体"/>
                <w:color w:val="000000"/>
                <w:kern w:val="0"/>
                <w:sz w:val="20"/>
                <w:szCs w:val="21"/>
              </w:rPr>
            </w:pPr>
            <w:r>
              <w:rPr>
                <w:rFonts w:ascii="黑体" w:hAnsi="黑体" w:eastAsia="黑体" w:cs="宋体"/>
                <w:color w:val="000000"/>
                <w:kern w:val="0"/>
                <w:sz w:val="20"/>
                <w:szCs w:val="21"/>
              </w:rPr>
              <w:t>-</w:t>
            </w:r>
            <w:r>
              <w:rPr>
                <w:rFonts w:hint="eastAsia" w:ascii="黑体" w:hAnsi="黑体" w:eastAsia="黑体" w:cs="宋体"/>
                <w:color w:val="000000"/>
                <w:kern w:val="0"/>
                <w:sz w:val="20"/>
                <w:szCs w:val="21"/>
              </w:rPr>
              <w:t>5</w:t>
            </w:r>
            <w:r>
              <w:rPr>
                <w:rFonts w:ascii="黑体" w:hAnsi="黑体" w:eastAsia="黑体" w:cs="宋体"/>
                <w:color w:val="000000"/>
                <w:kern w:val="0"/>
                <w:sz w:val="20"/>
                <w:szCs w:val="21"/>
              </w:rPr>
              <w:t>0</w:t>
            </w:r>
          </w:p>
        </w:tc>
        <w:tc>
          <w:tcPr>
            <w:tcW w:w="708" w:type="dxa"/>
            <w:vMerge w:val="continue"/>
            <w:vAlign w:val="center"/>
          </w:tcPr>
          <w:p w14:paraId="2B066EA5">
            <w:pPr>
              <w:widowControl/>
              <w:rPr>
                <w:rFonts w:ascii="黑体" w:hAnsi="黑体" w:eastAsia="黑体" w:cs="宋体"/>
                <w:color w:val="000000"/>
                <w:kern w:val="0"/>
                <w:sz w:val="20"/>
                <w:szCs w:val="21"/>
              </w:rPr>
            </w:pPr>
          </w:p>
        </w:tc>
      </w:tr>
      <w:tr w14:paraId="11B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50" w:type="dxa"/>
            <w:vMerge w:val="restart"/>
            <w:vAlign w:val="center"/>
          </w:tcPr>
          <w:p w14:paraId="598D4A59">
            <w:pPr>
              <w:jc w:val="center"/>
              <w:rPr>
                <w:rFonts w:ascii="宋体" w:hAnsi="宋体" w:eastAsia="宋体" w:cs="Times New Roman"/>
                <w:kern w:val="0"/>
                <w:sz w:val="20"/>
                <w:szCs w:val="21"/>
              </w:rPr>
            </w:pPr>
            <w:r>
              <w:rPr>
                <w:rFonts w:hint="eastAsia" w:ascii="宋体" w:hAnsi="宋体" w:eastAsia="宋体" w:cs="Times New Roman"/>
                <w:kern w:val="0"/>
                <w:sz w:val="20"/>
                <w:szCs w:val="21"/>
              </w:rPr>
              <w:t>8</w:t>
            </w:r>
          </w:p>
        </w:tc>
        <w:tc>
          <w:tcPr>
            <w:tcW w:w="1101" w:type="dxa"/>
            <w:vMerge w:val="restart"/>
            <w:vAlign w:val="center"/>
          </w:tcPr>
          <w:p w14:paraId="17511116">
            <w:pPr>
              <w:jc w:val="center"/>
              <w:rPr>
                <w:rFonts w:ascii="宋体" w:hAnsi="宋体" w:eastAsia="宋体" w:cs="Times New Roman"/>
                <w:kern w:val="0"/>
                <w:sz w:val="20"/>
                <w:szCs w:val="21"/>
              </w:rPr>
            </w:pPr>
            <w:r>
              <w:rPr>
                <w:rFonts w:hint="eastAsia" w:ascii="宋体" w:hAnsi="宋体" w:eastAsia="宋体" w:cs="Times New Roman"/>
                <w:kern w:val="0"/>
                <w:sz w:val="20"/>
                <w:szCs w:val="21"/>
              </w:rPr>
              <w:t>安全措施</w:t>
            </w:r>
          </w:p>
        </w:tc>
        <w:tc>
          <w:tcPr>
            <w:tcW w:w="709" w:type="dxa"/>
            <w:vMerge w:val="restart"/>
            <w:vAlign w:val="center"/>
          </w:tcPr>
          <w:p w14:paraId="5F7D315C">
            <w:pPr>
              <w:jc w:val="center"/>
              <w:rPr>
                <w:rFonts w:ascii="宋体" w:hAnsi="宋体" w:eastAsia="宋体" w:cs="Times New Roman"/>
                <w:kern w:val="0"/>
                <w:sz w:val="20"/>
                <w:szCs w:val="21"/>
              </w:rPr>
            </w:pPr>
            <w:r>
              <w:rPr>
                <w:rFonts w:hint="eastAsia" w:ascii="宋体" w:hAnsi="宋体" w:eastAsia="宋体" w:cs="Times New Roman"/>
                <w:kern w:val="0"/>
                <w:sz w:val="20"/>
                <w:szCs w:val="21"/>
              </w:rPr>
              <w:t>10</w:t>
            </w:r>
          </w:p>
        </w:tc>
        <w:tc>
          <w:tcPr>
            <w:tcW w:w="5528" w:type="dxa"/>
            <w:tcBorders>
              <w:bottom w:val="single" w:color="auto" w:sz="4" w:space="0"/>
            </w:tcBorders>
          </w:tcPr>
          <w:p w14:paraId="7C52A93A">
            <w:pPr>
              <w:rPr>
                <w:rFonts w:ascii="宋体" w:hAnsi="宋体" w:eastAsia="宋体" w:cs="Times New Roman"/>
                <w:kern w:val="0"/>
                <w:sz w:val="20"/>
                <w:szCs w:val="21"/>
              </w:rPr>
            </w:pPr>
            <w:r>
              <w:rPr>
                <w:rFonts w:hint="eastAsia" w:ascii="宋体" w:hAnsi="宋体" w:eastAsia="宋体" w:cs="Times New Roman"/>
                <w:kern w:val="0"/>
                <w:sz w:val="20"/>
                <w:szCs w:val="21"/>
              </w:rPr>
              <w:t>工作安全措施落实到位，有安全工作监督机制，无安全隐患。</w:t>
            </w:r>
          </w:p>
        </w:tc>
        <w:tc>
          <w:tcPr>
            <w:tcW w:w="851" w:type="dxa"/>
            <w:tcBorders>
              <w:bottom w:val="single" w:color="auto" w:sz="4" w:space="0"/>
            </w:tcBorders>
            <w:vAlign w:val="center"/>
          </w:tcPr>
          <w:p w14:paraId="61CB6FB5">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708" w:type="dxa"/>
            <w:vMerge w:val="restart"/>
          </w:tcPr>
          <w:p w14:paraId="688965AA">
            <w:pPr>
              <w:rPr>
                <w:rFonts w:ascii="Calibri" w:hAnsi="Calibri" w:eastAsia="宋体" w:cs="Times New Roman"/>
                <w:kern w:val="0"/>
                <w:sz w:val="20"/>
                <w:szCs w:val="21"/>
              </w:rPr>
            </w:pPr>
          </w:p>
        </w:tc>
      </w:tr>
      <w:tr w14:paraId="21C5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0" w:type="dxa"/>
            <w:vMerge w:val="continue"/>
            <w:vAlign w:val="center"/>
          </w:tcPr>
          <w:p w14:paraId="37754EAA">
            <w:pPr>
              <w:jc w:val="center"/>
              <w:rPr>
                <w:rFonts w:ascii="宋体" w:hAnsi="宋体" w:eastAsia="宋体" w:cs="Times New Roman"/>
                <w:kern w:val="0"/>
                <w:sz w:val="20"/>
                <w:szCs w:val="21"/>
              </w:rPr>
            </w:pPr>
          </w:p>
        </w:tc>
        <w:tc>
          <w:tcPr>
            <w:tcW w:w="1101" w:type="dxa"/>
            <w:vMerge w:val="continue"/>
            <w:vAlign w:val="center"/>
          </w:tcPr>
          <w:p w14:paraId="78BB3F9A">
            <w:pPr>
              <w:jc w:val="center"/>
              <w:rPr>
                <w:rFonts w:ascii="宋体" w:hAnsi="宋体" w:eastAsia="宋体" w:cs="Times New Roman"/>
                <w:kern w:val="0"/>
                <w:sz w:val="20"/>
                <w:szCs w:val="21"/>
              </w:rPr>
            </w:pPr>
          </w:p>
        </w:tc>
        <w:tc>
          <w:tcPr>
            <w:tcW w:w="709" w:type="dxa"/>
            <w:vMerge w:val="continue"/>
            <w:vAlign w:val="center"/>
          </w:tcPr>
          <w:p w14:paraId="4F0B42B4">
            <w:pPr>
              <w:jc w:val="cente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22B37445">
            <w:pPr>
              <w:rPr>
                <w:rFonts w:ascii="宋体" w:hAnsi="宋体" w:eastAsia="宋体" w:cs="Times New Roman"/>
                <w:kern w:val="0"/>
                <w:sz w:val="20"/>
                <w:szCs w:val="21"/>
              </w:rPr>
            </w:pPr>
            <w:r>
              <w:rPr>
                <w:rFonts w:hint="eastAsia" w:ascii="宋体" w:hAnsi="宋体" w:eastAsia="宋体" w:cs="Times New Roman"/>
                <w:kern w:val="0"/>
                <w:sz w:val="20"/>
                <w:szCs w:val="21"/>
              </w:rPr>
              <w:t>有安全工作监督机制，（偶有1次）操作不符合安全要求，但无安全隐患。</w:t>
            </w:r>
          </w:p>
        </w:tc>
        <w:tc>
          <w:tcPr>
            <w:tcW w:w="851" w:type="dxa"/>
            <w:tcBorders>
              <w:top w:val="single" w:color="auto" w:sz="4" w:space="0"/>
              <w:bottom w:val="single" w:color="auto" w:sz="4" w:space="0"/>
            </w:tcBorders>
            <w:vAlign w:val="center"/>
          </w:tcPr>
          <w:p w14:paraId="2EA142FF">
            <w:pPr>
              <w:jc w:val="center"/>
              <w:rPr>
                <w:rFonts w:ascii="Calibri" w:hAnsi="Calibri" w:eastAsia="宋体" w:cs="Times New Roman"/>
                <w:kern w:val="0"/>
                <w:sz w:val="20"/>
                <w:szCs w:val="21"/>
              </w:rPr>
            </w:pPr>
            <w:r>
              <w:rPr>
                <w:rFonts w:hint="eastAsia" w:ascii="Calibri" w:hAnsi="Calibri" w:eastAsia="宋体" w:cs="Times New Roman"/>
                <w:kern w:val="0"/>
                <w:sz w:val="20"/>
                <w:szCs w:val="21"/>
              </w:rPr>
              <w:t>0</w:t>
            </w:r>
            <w:r>
              <w:rPr>
                <w:rFonts w:hint="eastAsia" w:ascii="宋体" w:hAnsi="宋体" w:eastAsia="宋体" w:cs="Times New Roman"/>
                <w:kern w:val="0"/>
                <w:sz w:val="20"/>
                <w:szCs w:val="21"/>
              </w:rPr>
              <w:t>～9</w:t>
            </w:r>
          </w:p>
        </w:tc>
        <w:tc>
          <w:tcPr>
            <w:tcW w:w="708" w:type="dxa"/>
            <w:vMerge w:val="continue"/>
          </w:tcPr>
          <w:p w14:paraId="3BE9D062">
            <w:pPr>
              <w:rPr>
                <w:rFonts w:ascii="Calibri" w:hAnsi="Calibri" w:eastAsia="宋体" w:cs="Times New Roman"/>
                <w:kern w:val="0"/>
                <w:sz w:val="20"/>
                <w:szCs w:val="21"/>
              </w:rPr>
            </w:pPr>
          </w:p>
        </w:tc>
      </w:tr>
      <w:tr w14:paraId="4810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0" w:type="dxa"/>
            <w:vMerge w:val="continue"/>
            <w:vAlign w:val="center"/>
          </w:tcPr>
          <w:p w14:paraId="10D8CB0F">
            <w:pPr>
              <w:jc w:val="center"/>
              <w:rPr>
                <w:rFonts w:ascii="宋体" w:hAnsi="宋体" w:eastAsia="宋体" w:cs="Times New Roman"/>
                <w:kern w:val="0"/>
                <w:sz w:val="20"/>
                <w:szCs w:val="21"/>
              </w:rPr>
            </w:pPr>
          </w:p>
        </w:tc>
        <w:tc>
          <w:tcPr>
            <w:tcW w:w="1101" w:type="dxa"/>
            <w:vMerge w:val="continue"/>
            <w:vAlign w:val="center"/>
          </w:tcPr>
          <w:p w14:paraId="790E5907">
            <w:pPr>
              <w:jc w:val="center"/>
              <w:rPr>
                <w:rFonts w:ascii="宋体" w:hAnsi="宋体" w:eastAsia="宋体" w:cs="Times New Roman"/>
                <w:kern w:val="0"/>
                <w:sz w:val="20"/>
                <w:szCs w:val="21"/>
              </w:rPr>
            </w:pPr>
          </w:p>
        </w:tc>
        <w:tc>
          <w:tcPr>
            <w:tcW w:w="709" w:type="dxa"/>
            <w:vMerge w:val="continue"/>
            <w:vAlign w:val="center"/>
          </w:tcPr>
          <w:p w14:paraId="3F012BB5">
            <w:pPr>
              <w:jc w:val="center"/>
              <w:rPr>
                <w:rFonts w:ascii="宋体" w:hAnsi="宋体" w:eastAsia="宋体" w:cs="Times New Roman"/>
                <w:kern w:val="0"/>
                <w:sz w:val="20"/>
                <w:szCs w:val="21"/>
              </w:rPr>
            </w:pPr>
          </w:p>
        </w:tc>
        <w:tc>
          <w:tcPr>
            <w:tcW w:w="5528" w:type="dxa"/>
            <w:tcBorders>
              <w:top w:val="single" w:color="auto" w:sz="4" w:space="0"/>
            </w:tcBorders>
          </w:tcPr>
          <w:p w14:paraId="1019BDFF">
            <w:pPr>
              <w:rPr>
                <w:rFonts w:ascii="宋体" w:hAnsi="宋体" w:eastAsia="宋体" w:cs="Times New Roman"/>
                <w:kern w:val="0"/>
                <w:sz w:val="20"/>
                <w:szCs w:val="21"/>
              </w:rPr>
            </w:pPr>
            <w:r>
              <w:rPr>
                <w:rFonts w:hint="eastAsia" w:ascii="宋体" w:hAnsi="宋体" w:eastAsia="宋体" w:cs="Times New Roman"/>
                <w:kern w:val="0"/>
                <w:sz w:val="20"/>
                <w:szCs w:val="21"/>
              </w:rPr>
              <w:t>安全意识较低，经常有操作不符合安全要求，有安全隐 患。</w:t>
            </w:r>
          </w:p>
        </w:tc>
        <w:tc>
          <w:tcPr>
            <w:tcW w:w="851" w:type="dxa"/>
            <w:tcBorders>
              <w:top w:val="single" w:color="auto" w:sz="4" w:space="0"/>
            </w:tcBorders>
            <w:vAlign w:val="center"/>
          </w:tcPr>
          <w:p w14:paraId="78891310">
            <w:pPr>
              <w:jc w:val="center"/>
              <w:rPr>
                <w:rFonts w:ascii="Calibri" w:hAnsi="Calibri" w:eastAsia="宋体" w:cs="Times New Roman"/>
                <w:kern w:val="0"/>
                <w:sz w:val="20"/>
                <w:szCs w:val="21"/>
              </w:rPr>
            </w:pPr>
            <w:r>
              <w:rPr>
                <w:rFonts w:ascii="黑体" w:hAnsi="黑体" w:eastAsia="黑体" w:cs="宋体"/>
                <w:color w:val="000000"/>
                <w:kern w:val="0"/>
                <w:sz w:val="20"/>
                <w:szCs w:val="21"/>
              </w:rPr>
              <w:t>-</w:t>
            </w:r>
            <w:r>
              <w:rPr>
                <w:rFonts w:hint="eastAsia" w:ascii="黑体" w:hAnsi="黑体" w:eastAsia="黑体" w:cs="宋体"/>
                <w:color w:val="000000"/>
                <w:kern w:val="0"/>
                <w:sz w:val="20"/>
                <w:szCs w:val="21"/>
              </w:rPr>
              <w:t>5</w:t>
            </w:r>
          </w:p>
        </w:tc>
        <w:tc>
          <w:tcPr>
            <w:tcW w:w="708" w:type="dxa"/>
            <w:vMerge w:val="continue"/>
          </w:tcPr>
          <w:p w14:paraId="1F2517E8">
            <w:pPr>
              <w:rPr>
                <w:rFonts w:ascii="Calibri" w:hAnsi="Calibri" w:eastAsia="宋体" w:cs="Times New Roman"/>
                <w:kern w:val="0"/>
                <w:sz w:val="20"/>
                <w:szCs w:val="21"/>
              </w:rPr>
            </w:pPr>
          </w:p>
        </w:tc>
      </w:tr>
      <w:tr w14:paraId="68C7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50" w:type="dxa"/>
            <w:vMerge w:val="restart"/>
            <w:vAlign w:val="center"/>
          </w:tcPr>
          <w:p w14:paraId="74C6A342">
            <w:pPr>
              <w:jc w:val="center"/>
              <w:rPr>
                <w:rFonts w:ascii="宋体" w:hAnsi="宋体" w:eastAsia="宋体" w:cs="Times New Roman"/>
                <w:kern w:val="0"/>
                <w:sz w:val="20"/>
                <w:szCs w:val="21"/>
              </w:rPr>
            </w:pPr>
            <w:r>
              <w:rPr>
                <w:rFonts w:hint="eastAsia" w:ascii="宋体" w:hAnsi="宋体" w:eastAsia="宋体" w:cs="Times New Roman"/>
                <w:kern w:val="0"/>
                <w:sz w:val="20"/>
                <w:szCs w:val="21"/>
              </w:rPr>
              <w:t>9</w:t>
            </w:r>
          </w:p>
        </w:tc>
        <w:tc>
          <w:tcPr>
            <w:tcW w:w="1101" w:type="dxa"/>
            <w:vMerge w:val="restart"/>
            <w:vAlign w:val="center"/>
          </w:tcPr>
          <w:p w14:paraId="7C3FFAD0">
            <w:pPr>
              <w:jc w:val="center"/>
              <w:rPr>
                <w:rFonts w:ascii="宋体" w:hAnsi="宋体" w:eastAsia="宋体" w:cs="Times New Roman"/>
                <w:kern w:val="0"/>
                <w:sz w:val="20"/>
                <w:szCs w:val="21"/>
              </w:rPr>
            </w:pPr>
            <w:r>
              <w:rPr>
                <w:rFonts w:hint="eastAsia" w:ascii="宋体" w:hAnsi="宋体" w:eastAsia="宋体" w:cs="Times New Roman"/>
                <w:kern w:val="0"/>
                <w:sz w:val="20"/>
                <w:szCs w:val="21"/>
              </w:rPr>
              <w:t>资料提交</w:t>
            </w:r>
          </w:p>
        </w:tc>
        <w:tc>
          <w:tcPr>
            <w:tcW w:w="709" w:type="dxa"/>
            <w:vMerge w:val="restart"/>
            <w:vAlign w:val="center"/>
          </w:tcPr>
          <w:p w14:paraId="53F3DFDE">
            <w:pPr>
              <w:jc w:val="center"/>
              <w:rPr>
                <w:rFonts w:ascii="宋体" w:hAnsi="宋体" w:eastAsia="宋体" w:cs="Times New Roman"/>
                <w:kern w:val="0"/>
                <w:sz w:val="20"/>
                <w:szCs w:val="21"/>
              </w:rPr>
            </w:pPr>
            <w:r>
              <w:rPr>
                <w:rFonts w:hint="eastAsia" w:ascii="宋体" w:hAnsi="宋体" w:eastAsia="宋体" w:cs="Times New Roman"/>
                <w:kern w:val="0"/>
                <w:sz w:val="20"/>
                <w:szCs w:val="21"/>
              </w:rPr>
              <w:t>10</w:t>
            </w:r>
          </w:p>
        </w:tc>
        <w:tc>
          <w:tcPr>
            <w:tcW w:w="5528" w:type="dxa"/>
            <w:tcBorders>
              <w:bottom w:val="single" w:color="auto" w:sz="4" w:space="0"/>
            </w:tcBorders>
          </w:tcPr>
          <w:p w14:paraId="4CA25550">
            <w:pPr>
              <w:rPr>
                <w:rFonts w:ascii="宋体" w:hAnsi="宋体" w:eastAsia="宋体" w:cs="Times New Roman"/>
                <w:kern w:val="0"/>
                <w:sz w:val="20"/>
                <w:szCs w:val="21"/>
              </w:rPr>
            </w:pPr>
            <w:r>
              <w:rPr>
                <w:rFonts w:hint="eastAsia" w:ascii="宋体" w:hAnsi="宋体" w:eastAsia="宋体" w:cs="Times New Roman"/>
                <w:kern w:val="0"/>
                <w:sz w:val="20"/>
                <w:szCs w:val="21"/>
              </w:rPr>
              <w:t>能按规定时间提交相关资料及建议，资料完善。</w:t>
            </w:r>
          </w:p>
        </w:tc>
        <w:tc>
          <w:tcPr>
            <w:tcW w:w="851" w:type="dxa"/>
            <w:tcBorders>
              <w:bottom w:val="single" w:color="auto" w:sz="4" w:space="0"/>
            </w:tcBorders>
            <w:vAlign w:val="center"/>
          </w:tcPr>
          <w:p w14:paraId="30B9619A">
            <w:pPr>
              <w:jc w:val="center"/>
              <w:rPr>
                <w:rFonts w:ascii="Calibri" w:hAnsi="Calibri" w:eastAsia="宋体" w:cs="Times New Roman"/>
                <w:kern w:val="0"/>
                <w:sz w:val="20"/>
                <w:szCs w:val="21"/>
              </w:rPr>
            </w:pPr>
            <w:r>
              <w:rPr>
                <w:rFonts w:hint="eastAsia" w:ascii="Calibri" w:hAnsi="Calibri" w:eastAsia="宋体" w:cs="Times New Roman"/>
                <w:kern w:val="0"/>
                <w:sz w:val="20"/>
                <w:szCs w:val="21"/>
              </w:rPr>
              <w:t>10</w:t>
            </w:r>
          </w:p>
        </w:tc>
        <w:tc>
          <w:tcPr>
            <w:tcW w:w="708" w:type="dxa"/>
            <w:vMerge w:val="restart"/>
          </w:tcPr>
          <w:p w14:paraId="6CAD53BA">
            <w:pPr>
              <w:rPr>
                <w:rFonts w:ascii="Calibri" w:hAnsi="Calibri" w:eastAsia="宋体" w:cs="Times New Roman"/>
                <w:kern w:val="0"/>
                <w:sz w:val="20"/>
                <w:szCs w:val="21"/>
              </w:rPr>
            </w:pPr>
          </w:p>
        </w:tc>
      </w:tr>
      <w:tr w14:paraId="6B2E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0" w:type="dxa"/>
            <w:vMerge w:val="continue"/>
            <w:vAlign w:val="center"/>
          </w:tcPr>
          <w:p w14:paraId="035B7BE1">
            <w:pPr>
              <w:jc w:val="center"/>
              <w:rPr>
                <w:rFonts w:ascii="宋体" w:hAnsi="宋体" w:eastAsia="宋体" w:cs="Times New Roman"/>
                <w:kern w:val="0"/>
                <w:sz w:val="20"/>
                <w:szCs w:val="21"/>
              </w:rPr>
            </w:pPr>
          </w:p>
        </w:tc>
        <w:tc>
          <w:tcPr>
            <w:tcW w:w="1101" w:type="dxa"/>
            <w:vMerge w:val="continue"/>
          </w:tcPr>
          <w:p w14:paraId="4118162A">
            <w:pPr>
              <w:rPr>
                <w:rFonts w:ascii="宋体" w:hAnsi="宋体" w:eastAsia="宋体" w:cs="Times New Roman"/>
                <w:kern w:val="0"/>
                <w:sz w:val="20"/>
                <w:szCs w:val="21"/>
              </w:rPr>
            </w:pPr>
          </w:p>
        </w:tc>
        <w:tc>
          <w:tcPr>
            <w:tcW w:w="709" w:type="dxa"/>
            <w:vMerge w:val="continue"/>
          </w:tcPr>
          <w:p w14:paraId="44CAE12F">
            <w:pP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323B3617">
            <w:pPr>
              <w:rPr>
                <w:rFonts w:ascii="宋体" w:hAnsi="宋体" w:eastAsia="宋体" w:cs="Times New Roman"/>
                <w:kern w:val="0"/>
                <w:sz w:val="20"/>
                <w:szCs w:val="21"/>
              </w:rPr>
            </w:pPr>
            <w:r>
              <w:rPr>
                <w:rFonts w:hint="eastAsia" w:ascii="宋体" w:hAnsi="宋体" w:eastAsia="宋体" w:cs="Times New Roman"/>
                <w:kern w:val="0"/>
                <w:sz w:val="20"/>
                <w:szCs w:val="21"/>
              </w:rPr>
              <w:t>偶有不按规定时间提交相关资料或资料不够完善（2次）。</w:t>
            </w:r>
          </w:p>
        </w:tc>
        <w:tc>
          <w:tcPr>
            <w:tcW w:w="851" w:type="dxa"/>
            <w:tcBorders>
              <w:top w:val="single" w:color="auto" w:sz="4" w:space="0"/>
              <w:bottom w:val="single" w:color="auto" w:sz="4" w:space="0"/>
            </w:tcBorders>
            <w:vAlign w:val="center"/>
          </w:tcPr>
          <w:p w14:paraId="5B803DC9">
            <w:pPr>
              <w:jc w:val="center"/>
              <w:rPr>
                <w:rFonts w:ascii="Calibri" w:hAnsi="Calibri" w:eastAsia="宋体" w:cs="Times New Roman"/>
                <w:kern w:val="0"/>
                <w:sz w:val="20"/>
                <w:szCs w:val="21"/>
              </w:rPr>
            </w:pPr>
            <w:r>
              <w:rPr>
                <w:rFonts w:hint="eastAsia" w:ascii="Calibri" w:hAnsi="Calibri" w:eastAsia="宋体" w:cs="Times New Roman"/>
                <w:kern w:val="0"/>
                <w:sz w:val="20"/>
                <w:szCs w:val="21"/>
              </w:rPr>
              <w:t>0</w:t>
            </w:r>
            <w:r>
              <w:rPr>
                <w:rFonts w:hint="eastAsia" w:ascii="宋体" w:hAnsi="宋体" w:eastAsia="宋体" w:cs="Times New Roman"/>
                <w:kern w:val="0"/>
                <w:sz w:val="20"/>
                <w:szCs w:val="21"/>
              </w:rPr>
              <w:t>～9</w:t>
            </w:r>
          </w:p>
        </w:tc>
        <w:tc>
          <w:tcPr>
            <w:tcW w:w="708" w:type="dxa"/>
            <w:vMerge w:val="continue"/>
          </w:tcPr>
          <w:p w14:paraId="1AA891EB">
            <w:pPr>
              <w:rPr>
                <w:rFonts w:ascii="Calibri" w:hAnsi="Calibri" w:eastAsia="宋体" w:cs="Times New Roman"/>
                <w:kern w:val="0"/>
                <w:sz w:val="20"/>
                <w:szCs w:val="21"/>
              </w:rPr>
            </w:pPr>
          </w:p>
        </w:tc>
      </w:tr>
      <w:tr w14:paraId="7B8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0" w:type="dxa"/>
            <w:vMerge w:val="continue"/>
            <w:vAlign w:val="center"/>
          </w:tcPr>
          <w:p w14:paraId="5D1416D1">
            <w:pPr>
              <w:jc w:val="center"/>
              <w:rPr>
                <w:rFonts w:ascii="宋体" w:hAnsi="宋体" w:eastAsia="宋体" w:cs="Times New Roman"/>
                <w:kern w:val="0"/>
                <w:sz w:val="20"/>
                <w:szCs w:val="21"/>
              </w:rPr>
            </w:pPr>
          </w:p>
        </w:tc>
        <w:tc>
          <w:tcPr>
            <w:tcW w:w="1101" w:type="dxa"/>
            <w:vMerge w:val="continue"/>
          </w:tcPr>
          <w:p w14:paraId="1F25E204">
            <w:pPr>
              <w:rPr>
                <w:rFonts w:ascii="宋体" w:hAnsi="宋体" w:eastAsia="宋体" w:cs="Times New Roman"/>
                <w:kern w:val="0"/>
                <w:sz w:val="20"/>
                <w:szCs w:val="21"/>
              </w:rPr>
            </w:pPr>
          </w:p>
        </w:tc>
        <w:tc>
          <w:tcPr>
            <w:tcW w:w="709" w:type="dxa"/>
            <w:vMerge w:val="continue"/>
          </w:tcPr>
          <w:p w14:paraId="47D04254">
            <w:pPr>
              <w:rPr>
                <w:rFonts w:ascii="宋体" w:hAnsi="宋体" w:eastAsia="宋体" w:cs="Times New Roman"/>
                <w:kern w:val="0"/>
                <w:sz w:val="20"/>
                <w:szCs w:val="21"/>
              </w:rPr>
            </w:pPr>
          </w:p>
        </w:tc>
        <w:tc>
          <w:tcPr>
            <w:tcW w:w="5528" w:type="dxa"/>
            <w:tcBorders>
              <w:top w:val="single" w:color="auto" w:sz="4" w:space="0"/>
              <w:bottom w:val="single" w:color="auto" w:sz="4" w:space="0"/>
            </w:tcBorders>
          </w:tcPr>
          <w:p w14:paraId="134469A9">
            <w:pPr>
              <w:rPr>
                <w:rFonts w:ascii="宋体" w:hAnsi="宋体" w:eastAsia="宋体" w:cs="Times New Roman"/>
                <w:kern w:val="0"/>
                <w:sz w:val="20"/>
                <w:szCs w:val="21"/>
              </w:rPr>
            </w:pPr>
            <w:r>
              <w:rPr>
                <w:rFonts w:hint="eastAsia" w:ascii="宋体" w:hAnsi="宋体" w:eastAsia="宋体" w:cs="Times New Roman"/>
                <w:kern w:val="0"/>
                <w:sz w:val="20"/>
                <w:szCs w:val="21"/>
              </w:rPr>
              <w:t>经常不按规定时间提交相关资料（2次以上）。</w:t>
            </w:r>
          </w:p>
        </w:tc>
        <w:tc>
          <w:tcPr>
            <w:tcW w:w="851" w:type="dxa"/>
            <w:tcBorders>
              <w:top w:val="single" w:color="auto" w:sz="4" w:space="0"/>
              <w:bottom w:val="single" w:color="auto" w:sz="4" w:space="0"/>
            </w:tcBorders>
            <w:vAlign w:val="center"/>
          </w:tcPr>
          <w:p w14:paraId="1623DBFE">
            <w:pPr>
              <w:jc w:val="center"/>
              <w:rPr>
                <w:rFonts w:ascii="Calibri" w:hAnsi="Calibri" w:eastAsia="宋体" w:cs="Times New Roman"/>
                <w:kern w:val="0"/>
                <w:sz w:val="20"/>
                <w:szCs w:val="21"/>
              </w:rPr>
            </w:pPr>
            <w:r>
              <w:rPr>
                <w:rFonts w:ascii="黑体" w:hAnsi="黑体" w:eastAsia="黑体" w:cs="宋体"/>
                <w:color w:val="000000"/>
                <w:kern w:val="0"/>
                <w:sz w:val="20"/>
                <w:szCs w:val="21"/>
              </w:rPr>
              <w:t>-</w:t>
            </w:r>
            <w:r>
              <w:rPr>
                <w:rFonts w:hint="eastAsia" w:ascii="黑体" w:hAnsi="黑体" w:eastAsia="黑体" w:cs="宋体"/>
                <w:color w:val="000000"/>
                <w:kern w:val="0"/>
                <w:sz w:val="20"/>
                <w:szCs w:val="21"/>
              </w:rPr>
              <w:t>5</w:t>
            </w:r>
          </w:p>
        </w:tc>
        <w:tc>
          <w:tcPr>
            <w:tcW w:w="708" w:type="dxa"/>
            <w:vMerge w:val="continue"/>
          </w:tcPr>
          <w:p w14:paraId="5B016EC1">
            <w:pPr>
              <w:rPr>
                <w:rFonts w:ascii="Calibri" w:hAnsi="Calibri" w:eastAsia="宋体" w:cs="Times New Roman"/>
                <w:kern w:val="0"/>
                <w:sz w:val="20"/>
                <w:szCs w:val="21"/>
              </w:rPr>
            </w:pPr>
          </w:p>
        </w:tc>
      </w:tr>
      <w:tr w14:paraId="5DEB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39" w:type="dxa"/>
            <w:gridSpan w:val="5"/>
            <w:vAlign w:val="center"/>
          </w:tcPr>
          <w:p w14:paraId="35FF7D10">
            <w:pPr>
              <w:jc w:val="center"/>
              <w:rPr>
                <w:rFonts w:ascii="黑体" w:hAnsi="黑体" w:eastAsia="黑体" w:cs="宋体"/>
                <w:color w:val="000000"/>
                <w:kern w:val="0"/>
                <w:sz w:val="20"/>
                <w:szCs w:val="21"/>
              </w:rPr>
            </w:pPr>
            <w:r>
              <w:rPr>
                <w:rFonts w:hint="eastAsia" w:ascii="黑体" w:hAnsi="黑体" w:eastAsia="黑体" w:cs="宋体"/>
                <w:color w:val="000000"/>
                <w:kern w:val="0"/>
                <w:sz w:val="20"/>
                <w:szCs w:val="21"/>
              </w:rPr>
              <w:t>总评分</w:t>
            </w:r>
          </w:p>
        </w:tc>
        <w:tc>
          <w:tcPr>
            <w:tcW w:w="708" w:type="dxa"/>
          </w:tcPr>
          <w:p w14:paraId="609D94B1">
            <w:pPr>
              <w:rPr>
                <w:rFonts w:ascii="Calibri" w:hAnsi="Calibri" w:eastAsia="宋体" w:cs="Times New Roman"/>
                <w:kern w:val="0"/>
                <w:sz w:val="20"/>
                <w:szCs w:val="21"/>
              </w:rPr>
            </w:pPr>
          </w:p>
        </w:tc>
      </w:tr>
    </w:tbl>
    <w:p w14:paraId="02C640E7">
      <w:pPr>
        <w:jc w:val="left"/>
        <w:rPr>
          <w:rFonts w:ascii="Calibri" w:hAnsi="Calibri" w:eastAsia="宋体" w:cs="Times New Roman"/>
          <w:sz w:val="24"/>
          <w:szCs w:val="24"/>
        </w:rPr>
      </w:pPr>
      <w:r>
        <w:rPr>
          <w:rFonts w:hint="eastAsia" w:ascii="Calibri" w:hAnsi="Calibri" w:eastAsia="宋体" w:cs="Times New Roman"/>
          <w:sz w:val="24"/>
          <w:szCs w:val="24"/>
        </w:rPr>
        <w:t>维保公司：                               考核时间：202  年  月---202  年   月</w:t>
      </w:r>
    </w:p>
    <w:bookmarkEnd w:id="0"/>
    <w:bookmarkEnd w:id="1"/>
    <w:bookmarkEnd w:id="2"/>
    <w:bookmarkEnd w:id="3"/>
    <w:p w14:paraId="39D55FEA">
      <w:pPr>
        <w:spacing w:line="360" w:lineRule="auto"/>
        <w:rPr>
          <w:rFonts w:ascii="宋体" w:hAnsi="宋体" w:eastAsia="宋体" w:cs="Times New Roman"/>
          <w:szCs w:val="24"/>
        </w:rPr>
      </w:pPr>
      <w:r>
        <w:rPr>
          <w:rFonts w:ascii="宋体" w:hAnsi="宋体" w:eastAsia="宋体" w:cs="Times New Roman"/>
          <w:szCs w:val="24"/>
        </w:rPr>
        <w:br w:type="page"/>
      </w:r>
    </w:p>
    <w:p w14:paraId="5916EDAE">
      <w:pPr>
        <w:jc w:val="left"/>
        <w:rPr>
          <w:rFonts w:ascii="Calibri" w:hAnsi="Calibri" w:eastAsia="宋体" w:cs="Times New Roman"/>
          <w:sz w:val="24"/>
          <w:szCs w:val="24"/>
        </w:rPr>
      </w:pPr>
      <w:r>
        <w:rPr>
          <w:rFonts w:hint="eastAsia" w:ascii="Calibri" w:hAnsi="Calibri" w:eastAsia="宋体" w:cs="Times New Roman"/>
          <w:sz w:val="24"/>
          <w:szCs w:val="24"/>
        </w:rPr>
        <w:t>每</w:t>
      </w:r>
      <w:r>
        <w:rPr>
          <w:rFonts w:hint="eastAsia" w:ascii="Calibri" w:hAnsi="Calibri" w:eastAsia="宋体" w:cs="Times New Roman"/>
          <w:sz w:val="24"/>
          <w:szCs w:val="24"/>
          <w:lang w:val="en-US" w:eastAsia="zh-CN"/>
        </w:rPr>
        <w:t>6</w:t>
      </w:r>
      <w:r>
        <w:rPr>
          <w:rFonts w:hint="eastAsia" w:ascii="Calibri" w:hAnsi="Calibri" w:eastAsia="宋体" w:cs="Times New Roman"/>
          <w:sz w:val="24"/>
          <w:szCs w:val="24"/>
        </w:rPr>
        <w:t>个月考评一次，满分为</w:t>
      </w:r>
      <w:r>
        <w:rPr>
          <w:rFonts w:ascii="Calibri" w:hAnsi="Calibri" w:eastAsia="宋体" w:cs="Times New Roman"/>
          <w:sz w:val="24"/>
          <w:szCs w:val="24"/>
        </w:rPr>
        <w:t>100</w:t>
      </w:r>
      <w:r>
        <w:rPr>
          <w:rFonts w:hint="eastAsia" w:ascii="Calibri" w:hAnsi="Calibri" w:eastAsia="宋体" w:cs="Times New Roman"/>
          <w:sz w:val="24"/>
          <w:szCs w:val="24"/>
        </w:rPr>
        <w:t>分，每次评分在</w:t>
      </w:r>
      <w:r>
        <w:rPr>
          <w:rFonts w:hint="eastAsia" w:ascii="Calibri" w:hAnsi="Calibri" w:eastAsia="宋体" w:cs="Times New Roman"/>
          <w:sz w:val="24"/>
          <w:szCs w:val="24"/>
          <w:lang w:val="en-US" w:eastAsia="zh-CN"/>
        </w:rPr>
        <w:t>9</w:t>
      </w:r>
      <w:r>
        <w:rPr>
          <w:rFonts w:ascii="Calibri" w:hAnsi="Calibri" w:eastAsia="宋体" w:cs="Times New Roman"/>
          <w:sz w:val="24"/>
          <w:szCs w:val="24"/>
        </w:rPr>
        <w:t>0</w:t>
      </w:r>
      <w:r>
        <w:rPr>
          <w:rFonts w:hint="eastAsia" w:ascii="Calibri" w:hAnsi="Calibri" w:eastAsia="宋体" w:cs="Times New Roman"/>
          <w:sz w:val="24"/>
          <w:szCs w:val="24"/>
        </w:rPr>
        <w:t>分以上（含</w:t>
      </w:r>
      <w:r>
        <w:rPr>
          <w:rFonts w:hint="eastAsia" w:ascii="Calibri" w:hAnsi="Calibri" w:eastAsia="宋体" w:cs="Times New Roman"/>
          <w:sz w:val="24"/>
          <w:szCs w:val="24"/>
          <w:lang w:val="en-US" w:eastAsia="zh-CN"/>
        </w:rPr>
        <w:t>9</w:t>
      </w:r>
      <w:r>
        <w:rPr>
          <w:rFonts w:ascii="Calibri" w:hAnsi="Calibri" w:eastAsia="宋体" w:cs="Times New Roman"/>
          <w:sz w:val="24"/>
          <w:szCs w:val="24"/>
        </w:rPr>
        <w:t>0</w:t>
      </w:r>
      <w:r>
        <w:rPr>
          <w:rFonts w:hint="eastAsia" w:ascii="Calibri" w:hAnsi="Calibri" w:eastAsia="宋体" w:cs="Times New Roman"/>
          <w:sz w:val="24"/>
          <w:szCs w:val="24"/>
        </w:rPr>
        <w:t>分）不需要扣维保费，</w:t>
      </w:r>
      <w:r>
        <w:rPr>
          <w:rFonts w:hint="eastAsia" w:ascii="Calibri" w:hAnsi="Calibri" w:eastAsia="宋体" w:cs="Times New Roman"/>
          <w:sz w:val="24"/>
          <w:szCs w:val="24"/>
          <w:lang w:val="en-US" w:eastAsia="zh-CN"/>
        </w:rPr>
        <w:t>9</w:t>
      </w:r>
      <w:r>
        <w:rPr>
          <w:rFonts w:ascii="Calibri" w:hAnsi="Calibri" w:eastAsia="宋体" w:cs="Times New Roman"/>
          <w:sz w:val="24"/>
          <w:szCs w:val="24"/>
        </w:rPr>
        <w:t>0</w:t>
      </w:r>
      <w:r>
        <w:rPr>
          <w:rFonts w:hint="eastAsia" w:ascii="Calibri" w:hAnsi="Calibri" w:eastAsia="宋体" w:cs="Times New Roman"/>
          <w:sz w:val="24"/>
          <w:szCs w:val="24"/>
        </w:rPr>
        <w:t>分以下每低</w:t>
      </w:r>
      <w:r>
        <w:rPr>
          <w:rFonts w:ascii="Calibri" w:hAnsi="Calibri" w:eastAsia="宋体" w:cs="Times New Roman"/>
          <w:sz w:val="24"/>
          <w:szCs w:val="24"/>
        </w:rPr>
        <w:t>1</w:t>
      </w:r>
      <w:r>
        <w:rPr>
          <w:rFonts w:hint="eastAsia" w:ascii="Calibri" w:hAnsi="Calibri" w:eastAsia="宋体" w:cs="Times New Roman"/>
          <w:sz w:val="24"/>
          <w:szCs w:val="24"/>
        </w:rPr>
        <w:t>分扣当期（</w:t>
      </w:r>
      <w:r>
        <w:rPr>
          <w:rFonts w:hint="eastAsia" w:ascii="Calibri" w:hAnsi="Calibri" w:eastAsia="宋体" w:cs="Times New Roman"/>
          <w:sz w:val="24"/>
          <w:szCs w:val="24"/>
          <w:lang w:val="en-US" w:eastAsia="zh-CN"/>
        </w:rPr>
        <w:t>2</w:t>
      </w:r>
      <w:r>
        <w:rPr>
          <w:rFonts w:hint="eastAsia" w:ascii="Calibri" w:hAnsi="Calibri" w:eastAsia="宋体" w:cs="Times New Roman"/>
          <w:sz w:val="24"/>
          <w:szCs w:val="24"/>
        </w:rPr>
        <w:t>个季度）</w:t>
      </w:r>
      <w:r>
        <w:rPr>
          <w:rFonts w:ascii="Calibri" w:hAnsi="Calibri" w:eastAsia="宋体" w:cs="Times New Roman"/>
          <w:sz w:val="24"/>
          <w:szCs w:val="24"/>
        </w:rPr>
        <w:t>1%</w:t>
      </w:r>
      <w:r>
        <w:rPr>
          <w:rFonts w:hint="eastAsia" w:ascii="Calibri" w:hAnsi="Calibri" w:eastAsia="宋体" w:cs="Times New Roman"/>
          <w:sz w:val="24"/>
          <w:szCs w:val="24"/>
        </w:rPr>
        <w:t>维保费。若乙方</w:t>
      </w:r>
      <w:r>
        <w:rPr>
          <w:rFonts w:ascii="Calibri" w:hAnsi="Calibri" w:eastAsia="宋体" w:cs="Times New Roman"/>
          <w:sz w:val="24"/>
          <w:szCs w:val="24"/>
        </w:rPr>
        <w:t>1</w:t>
      </w:r>
      <w:r>
        <w:rPr>
          <w:rFonts w:hint="eastAsia" w:ascii="Calibri" w:hAnsi="Calibri" w:eastAsia="宋体" w:cs="Times New Roman"/>
          <w:sz w:val="24"/>
          <w:szCs w:val="24"/>
        </w:rPr>
        <w:t>个考核周期低于</w:t>
      </w:r>
      <w:r>
        <w:rPr>
          <w:rFonts w:hint="eastAsia" w:ascii="Calibri" w:hAnsi="Calibri" w:eastAsia="宋体" w:cs="Times New Roman"/>
          <w:sz w:val="24"/>
          <w:szCs w:val="24"/>
          <w:lang w:val="en-US" w:eastAsia="zh-CN"/>
        </w:rPr>
        <w:t>80</w:t>
      </w:r>
      <w:r>
        <w:rPr>
          <w:rFonts w:hint="eastAsia" w:ascii="Calibri" w:hAnsi="Calibri" w:eastAsia="宋体" w:cs="Times New Roman"/>
          <w:sz w:val="24"/>
          <w:szCs w:val="24"/>
        </w:rPr>
        <w:t>分，甲方有权终止合同。</w:t>
      </w:r>
      <w:r>
        <w:rPr>
          <w:rFonts w:ascii="Calibri" w:hAnsi="Calibri" w:eastAsia="宋体" w:cs="Times New Roman"/>
          <w:sz w:val="24"/>
          <w:szCs w:val="24"/>
        </w:rPr>
        <w:t xml:space="preserve">                                                                            </w:t>
      </w:r>
    </w:p>
    <w:p w14:paraId="628011CD">
      <w:r>
        <w:rPr>
          <w:rFonts w:hint="eastAsia" w:ascii="Calibri" w:hAnsi="Calibri" w:eastAsia="宋体" w:cs="Times New Roman"/>
          <w:sz w:val="24"/>
          <w:szCs w:val="24"/>
        </w:rPr>
        <w:t>签名：</w:t>
      </w:r>
      <w:r>
        <w:rPr>
          <w:rFonts w:ascii="Calibri" w:hAnsi="Calibri" w:eastAsia="宋体" w:cs="Times New Roman"/>
          <w:sz w:val="24"/>
          <w:szCs w:val="24"/>
        </w:rPr>
        <w:t xml:space="preserve">                           </w:t>
      </w:r>
      <w:bookmarkStart w:id="7" w:name="_GoBack"/>
      <w:bookmarkEnd w:id="7"/>
      <w:r>
        <w:rPr>
          <w:rFonts w:ascii="Calibri" w:hAnsi="Calibri" w:eastAsia="宋体" w:cs="Times New Roman"/>
          <w:sz w:val="24"/>
          <w:szCs w:val="24"/>
        </w:rPr>
        <w:t xml:space="preserve">                        </w:t>
      </w:r>
      <w:r>
        <w:rPr>
          <w:rFonts w:hint="eastAsia" w:ascii="Calibri" w:hAnsi="Calibri" w:eastAsia="宋体" w:cs="Times New Roman"/>
          <w:sz w:val="24"/>
          <w:szCs w:val="24"/>
        </w:rPr>
        <w:t>日期：</w:t>
      </w:r>
      <w:r>
        <w:rPr>
          <w:rFonts w:ascii="Calibri" w:hAnsi="Calibri" w:eastAsia="宋体" w:cs="Times New Roman"/>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4951"/>
    <w:multiLevelType w:val="multilevel"/>
    <w:tmpl w:val="026D4951"/>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26F17B8"/>
    <w:multiLevelType w:val="multilevel"/>
    <w:tmpl w:val="026F17B8"/>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3BB49B4"/>
    <w:multiLevelType w:val="multilevel"/>
    <w:tmpl w:val="03BB49B4"/>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734096C"/>
    <w:multiLevelType w:val="multilevel"/>
    <w:tmpl w:val="0734096C"/>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87F0ECB"/>
    <w:multiLevelType w:val="multilevel"/>
    <w:tmpl w:val="087F0ECB"/>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E32D1C"/>
    <w:multiLevelType w:val="multilevel"/>
    <w:tmpl w:val="08E32D1C"/>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98C6F34"/>
    <w:multiLevelType w:val="multilevel"/>
    <w:tmpl w:val="098C6F34"/>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A123D9"/>
    <w:multiLevelType w:val="multilevel"/>
    <w:tmpl w:val="09A123D9"/>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A8B2C11"/>
    <w:multiLevelType w:val="multilevel"/>
    <w:tmpl w:val="0A8B2C11"/>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B572930"/>
    <w:multiLevelType w:val="multilevel"/>
    <w:tmpl w:val="0B572930"/>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E3D73D7"/>
    <w:multiLevelType w:val="multilevel"/>
    <w:tmpl w:val="0E3D73D7"/>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5D362B0"/>
    <w:multiLevelType w:val="multilevel"/>
    <w:tmpl w:val="15D362B0"/>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7292A06"/>
    <w:multiLevelType w:val="multilevel"/>
    <w:tmpl w:val="17292A06"/>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A056C36"/>
    <w:multiLevelType w:val="multilevel"/>
    <w:tmpl w:val="1A056C36"/>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BF52DA5"/>
    <w:multiLevelType w:val="multilevel"/>
    <w:tmpl w:val="1BF52DA5"/>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E6077E0"/>
    <w:multiLevelType w:val="multilevel"/>
    <w:tmpl w:val="1E6077E0"/>
    <w:lvl w:ilvl="0" w:tentative="0">
      <w:start w:val="1"/>
      <w:numFmt w:val="lowerLetter"/>
      <w:lvlText w:val="%1."/>
      <w:lvlJc w:val="left"/>
      <w:pPr>
        <w:tabs>
          <w:tab w:val="left" w:pos="644"/>
        </w:tabs>
        <w:ind w:left="644" w:hanging="360"/>
      </w:pPr>
    </w:lvl>
    <w:lvl w:ilvl="1" w:tentative="0">
      <w:start w:val="1"/>
      <w:numFmt w:val="lowerLetter"/>
      <w:lvlText w:val="%2、"/>
      <w:lvlJc w:val="left"/>
      <w:pPr>
        <w:tabs>
          <w:tab w:val="left" w:pos="1440"/>
        </w:tabs>
        <w:ind w:left="1440" w:hanging="360"/>
      </w:pPr>
      <w:rPr>
        <w:rFonts w:hint="default"/>
        <w:u w:val="none"/>
      </w:rPr>
    </w:lvl>
    <w:lvl w:ilvl="2" w:tentative="0">
      <w:start w:val="1"/>
      <w:numFmt w:val="decimal"/>
      <w:lvlText w:val="%3．"/>
      <w:lvlJc w:val="left"/>
      <w:pPr>
        <w:tabs>
          <w:tab w:val="left" w:pos="2340"/>
        </w:tabs>
        <w:ind w:left="2340" w:hanging="360"/>
      </w:pPr>
      <w:rPr>
        <w:rFonts w:hint="eastAsia"/>
      </w:rPr>
    </w:lvl>
    <w:lvl w:ilvl="3" w:tentative="0">
      <w:start w:val="1"/>
      <w:numFmt w:val="upperLetter"/>
      <w:lvlText w:val="%4."/>
      <w:lvlJc w:val="left"/>
      <w:pPr>
        <w:tabs>
          <w:tab w:val="left" w:pos="3240"/>
        </w:tabs>
        <w:ind w:left="3240" w:hanging="720"/>
      </w:pPr>
      <w:rPr>
        <w:rFonts w:hint="eastAsia"/>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25CE79E7"/>
    <w:multiLevelType w:val="multilevel"/>
    <w:tmpl w:val="25CE79E7"/>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7">
    <w:nsid w:val="27662BC9"/>
    <w:multiLevelType w:val="multilevel"/>
    <w:tmpl w:val="27662BC9"/>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28074F31"/>
    <w:multiLevelType w:val="multilevel"/>
    <w:tmpl w:val="28074F31"/>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294920CE"/>
    <w:multiLevelType w:val="multilevel"/>
    <w:tmpl w:val="294920CE"/>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2DE867DB"/>
    <w:multiLevelType w:val="multilevel"/>
    <w:tmpl w:val="2DE867DB"/>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2E4F3694"/>
    <w:multiLevelType w:val="multilevel"/>
    <w:tmpl w:val="2E4F3694"/>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F88238E"/>
    <w:multiLevelType w:val="multilevel"/>
    <w:tmpl w:val="2F88238E"/>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01542CF"/>
    <w:multiLevelType w:val="multilevel"/>
    <w:tmpl w:val="301542CF"/>
    <w:lvl w:ilvl="0" w:tentative="0">
      <w:start w:val="1"/>
      <w:numFmt w:val="lowerLetter"/>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20058F9"/>
    <w:multiLevelType w:val="multilevel"/>
    <w:tmpl w:val="320058F9"/>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326A3EF0"/>
    <w:multiLevelType w:val="multilevel"/>
    <w:tmpl w:val="326A3EF0"/>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337B4368"/>
    <w:multiLevelType w:val="multilevel"/>
    <w:tmpl w:val="337B4368"/>
    <w:lvl w:ilvl="0" w:tentative="0">
      <w:start w:val="1"/>
      <w:numFmt w:val="decimal"/>
      <w:lvlText w:val="（%1）"/>
      <w:lvlJc w:val="left"/>
      <w:pPr>
        <w:ind w:left="1288" w:hanging="72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33D6570A"/>
    <w:multiLevelType w:val="multilevel"/>
    <w:tmpl w:val="33D6570A"/>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4BF4A7F"/>
    <w:multiLevelType w:val="multilevel"/>
    <w:tmpl w:val="34BF4A7F"/>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3559557B"/>
    <w:multiLevelType w:val="multilevel"/>
    <w:tmpl w:val="3559557B"/>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0">
    <w:nsid w:val="35EE1E12"/>
    <w:multiLevelType w:val="multilevel"/>
    <w:tmpl w:val="35EE1E12"/>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36080671"/>
    <w:multiLevelType w:val="multilevel"/>
    <w:tmpl w:val="36080671"/>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39D6783D"/>
    <w:multiLevelType w:val="multilevel"/>
    <w:tmpl w:val="39D6783D"/>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3B5C7FA9"/>
    <w:multiLevelType w:val="multilevel"/>
    <w:tmpl w:val="3B5C7FA9"/>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3D4B1F87"/>
    <w:multiLevelType w:val="multilevel"/>
    <w:tmpl w:val="3D4B1F87"/>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5">
    <w:nsid w:val="3FD47634"/>
    <w:multiLevelType w:val="multilevel"/>
    <w:tmpl w:val="3FD47634"/>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424E6665"/>
    <w:multiLevelType w:val="multilevel"/>
    <w:tmpl w:val="424E6665"/>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42E056B6"/>
    <w:multiLevelType w:val="multilevel"/>
    <w:tmpl w:val="42E056B6"/>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43BC4797"/>
    <w:multiLevelType w:val="multilevel"/>
    <w:tmpl w:val="43BC4797"/>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44C32D2B"/>
    <w:multiLevelType w:val="multilevel"/>
    <w:tmpl w:val="44C32D2B"/>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44E553A5"/>
    <w:multiLevelType w:val="multilevel"/>
    <w:tmpl w:val="44E553A5"/>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46AD1AAD"/>
    <w:multiLevelType w:val="multilevel"/>
    <w:tmpl w:val="46AD1AA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2">
    <w:nsid w:val="4ED80019"/>
    <w:multiLevelType w:val="multilevel"/>
    <w:tmpl w:val="4ED80019"/>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502B5074"/>
    <w:multiLevelType w:val="multilevel"/>
    <w:tmpl w:val="502B5074"/>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51B976FF"/>
    <w:multiLevelType w:val="multilevel"/>
    <w:tmpl w:val="51B976FF"/>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52B95252"/>
    <w:multiLevelType w:val="singleLevel"/>
    <w:tmpl w:val="52B95252"/>
    <w:lvl w:ilvl="0" w:tentative="0">
      <w:start w:val="1"/>
      <w:numFmt w:val="lowerLetter"/>
      <w:lvlText w:val="%1."/>
      <w:lvlJc w:val="left"/>
      <w:pPr>
        <w:tabs>
          <w:tab w:val="left" w:pos="480"/>
        </w:tabs>
        <w:ind w:left="480" w:hanging="360"/>
      </w:pPr>
      <w:rPr>
        <w:rFonts w:hint="default"/>
      </w:rPr>
    </w:lvl>
  </w:abstractNum>
  <w:abstractNum w:abstractNumId="46">
    <w:nsid w:val="57BF7E45"/>
    <w:multiLevelType w:val="multilevel"/>
    <w:tmpl w:val="57BF7E45"/>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58F754A8"/>
    <w:multiLevelType w:val="multilevel"/>
    <w:tmpl w:val="58F754A8"/>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58FE524D"/>
    <w:multiLevelType w:val="multilevel"/>
    <w:tmpl w:val="58FE524D"/>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5A094B20"/>
    <w:multiLevelType w:val="multilevel"/>
    <w:tmpl w:val="5A094B20"/>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5A5F48FB"/>
    <w:multiLevelType w:val="multilevel"/>
    <w:tmpl w:val="5A5F48FB"/>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5AEE2843"/>
    <w:multiLevelType w:val="multilevel"/>
    <w:tmpl w:val="5AEE2843"/>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2">
    <w:nsid w:val="5B6278D3"/>
    <w:multiLevelType w:val="multilevel"/>
    <w:tmpl w:val="5B6278D3"/>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3">
    <w:nsid w:val="5DDF7CFE"/>
    <w:multiLevelType w:val="multilevel"/>
    <w:tmpl w:val="5DDF7CFE"/>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4">
    <w:nsid w:val="63131A3D"/>
    <w:multiLevelType w:val="multilevel"/>
    <w:tmpl w:val="63131A3D"/>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5">
    <w:nsid w:val="633245C8"/>
    <w:multiLevelType w:val="multilevel"/>
    <w:tmpl w:val="633245C8"/>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6">
    <w:nsid w:val="65066849"/>
    <w:multiLevelType w:val="multilevel"/>
    <w:tmpl w:val="65066849"/>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57">
    <w:nsid w:val="657C18DE"/>
    <w:multiLevelType w:val="multilevel"/>
    <w:tmpl w:val="657C18DE"/>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67917197"/>
    <w:multiLevelType w:val="multilevel"/>
    <w:tmpl w:val="67917197"/>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68572918"/>
    <w:multiLevelType w:val="multilevel"/>
    <w:tmpl w:val="68572918"/>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68E61C52"/>
    <w:multiLevelType w:val="multilevel"/>
    <w:tmpl w:val="68E61C52"/>
    <w:lvl w:ilvl="0" w:tentative="0">
      <w:start w:val="3"/>
      <w:numFmt w:val="decimal"/>
      <w:lvlText w:val="%1、"/>
      <w:lvlJc w:val="left"/>
      <w:pPr>
        <w:ind w:left="390" w:hanging="39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C095270"/>
    <w:multiLevelType w:val="multilevel"/>
    <w:tmpl w:val="6C095270"/>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6D786D30"/>
    <w:multiLevelType w:val="singleLevel"/>
    <w:tmpl w:val="6D786D30"/>
    <w:lvl w:ilvl="0" w:tentative="0">
      <w:start w:val="1"/>
      <w:numFmt w:val="bullet"/>
      <w:lvlText w:val=""/>
      <w:lvlJc w:val="left"/>
      <w:pPr>
        <w:tabs>
          <w:tab w:val="left" w:pos="360"/>
        </w:tabs>
        <w:ind w:left="360" w:hanging="360"/>
      </w:pPr>
      <w:rPr>
        <w:rFonts w:hint="default" w:ascii="Symbol" w:hAnsi="Symbol" w:cs="Symbol"/>
      </w:rPr>
    </w:lvl>
  </w:abstractNum>
  <w:abstractNum w:abstractNumId="63">
    <w:nsid w:val="6ED70028"/>
    <w:multiLevelType w:val="multilevel"/>
    <w:tmpl w:val="6ED70028"/>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4">
    <w:nsid w:val="711E6108"/>
    <w:multiLevelType w:val="multilevel"/>
    <w:tmpl w:val="711E6108"/>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65">
    <w:nsid w:val="72CC3BAB"/>
    <w:multiLevelType w:val="multilevel"/>
    <w:tmpl w:val="72CC3BAB"/>
    <w:lvl w:ilvl="0" w:tentative="0">
      <w:start w:val="1"/>
      <w:numFmt w:val="lowerLetter"/>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66">
    <w:nsid w:val="740115F2"/>
    <w:multiLevelType w:val="multilevel"/>
    <w:tmpl w:val="740115F2"/>
    <w:lvl w:ilvl="0" w:tentative="0">
      <w:start w:val="1"/>
      <w:numFmt w:val="lowerLetter"/>
      <w:lvlText w:val="%1、"/>
      <w:lvlJc w:val="left"/>
      <w:pPr>
        <w:tabs>
          <w:tab w:val="left" w:pos="786"/>
        </w:tabs>
        <w:ind w:left="786" w:hanging="360"/>
      </w:pPr>
      <w:rPr>
        <w:rFonts w:hint="default"/>
        <w:u w:val="none"/>
      </w:rPr>
    </w:lvl>
    <w:lvl w:ilvl="1" w:tentative="0">
      <w:start w:val="1"/>
      <w:numFmt w:val="lowerLetter"/>
      <w:lvlText w:val="%2."/>
      <w:lvlJc w:val="left"/>
      <w:pPr>
        <w:tabs>
          <w:tab w:val="left" w:pos="1506"/>
        </w:tabs>
        <w:ind w:left="1506" w:hanging="360"/>
      </w:pPr>
      <w:rPr>
        <w:rFonts w:hint="default"/>
      </w:rPr>
    </w:lvl>
    <w:lvl w:ilvl="2" w:tentative="0">
      <w:start w:val="1"/>
      <w:numFmt w:val="lowerRoman"/>
      <w:lvlText w:val="%3."/>
      <w:lvlJc w:val="right"/>
      <w:pPr>
        <w:tabs>
          <w:tab w:val="left" w:pos="2226"/>
        </w:tabs>
        <w:ind w:left="2226" w:hanging="180"/>
      </w:pPr>
    </w:lvl>
    <w:lvl w:ilvl="3" w:tentative="0">
      <w:start w:val="1"/>
      <w:numFmt w:val="decimal"/>
      <w:lvlText w:val="%4."/>
      <w:lvlJc w:val="left"/>
      <w:pPr>
        <w:tabs>
          <w:tab w:val="left" w:pos="2946"/>
        </w:tabs>
        <w:ind w:left="2946" w:hanging="360"/>
      </w:pPr>
    </w:lvl>
    <w:lvl w:ilvl="4" w:tentative="0">
      <w:start w:val="1"/>
      <w:numFmt w:val="lowerLetter"/>
      <w:lvlText w:val="%5."/>
      <w:lvlJc w:val="left"/>
      <w:pPr>
        <w:tabs>
          <w:tab w:val="left" w:pos="3666"/>
        </w:tabs>
        <w:ind w:left="3666" w:hanging="360"/>
      </w:pPr>
    </w:lvl>
    <w:lvl w:ilvl="5" w:tentative="0">
      <w:start w:val="1"/>
      <w:numFmt w:val="lowerRoman"/>
      <w:lvlText w:val="%6."/>
      <w:lvlJc w:val="right"/>
      <w:pPr>
        <w:tabs>
          <w:tab w:val="left" w:pos="4386"/>
        </w:tabs>
        <w:ind w:left="4386" w:hanging="180"/>
      </w:pPr>
    </w:lvl>
    <w:lvl w:ilvl="6" w:tentative="0">
      <w:start w:val="1"/>
      <w:numFmt w:val="decimal"/>
      <w:lvlText w:val="%7."/>
      <w:lvlJc w:val="left"/>
      <w:pPr>
        <w:tabs>
          <w:tab w:val="left" w:pos="5106"/>
        </w:tabs>
        <w:ind w:left="5106" w:hanging="360"/>
      </w:pPr>
    </w:lvl>
    <w:lvl w:ilvl="7" w:tentative="0">
      <w:start w:val="1"/>
      <w:numFmt w:val="lowerLetter"/>
      <w:lvlText w:val="%8."/>
      <w:lvlJc w:val="left"/>
      <w:pPr>
        <w:tabs>
          <w:tab w:val="left" w:pos="5826"/>
        </w:tabs>
        <w:ind w:left="5826" w:hanging="360"/>
      </w:pPr>
    </w:lvl>
    <w:lvl w:ilvl="8" w:tentative="0">
      <w:start w:val="1"/>
      <w:numFmt w:val="lowerRoman"/>
      <w:lvlText w:val="%9."/>
      <w:lvlJc w:val="right"/>
      <w:pPr>
        <w:tabs>
          <w:tab w:val="left" w:pos="6546"/>
        </w:tabs>
        <w:ind w:left="6546" w:hanging="180"/>
      </w:pPr>
    </w:lvl>
  </w:abstractNum>
  <w:abstractNum w:abstractNumId="67">
    <w:nsid w:val="77D20043"/>
    <w:multiLevelType w:val="multilevel"/>
    <w:tmpl w:val="77D20043"/>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8">
    <w:nsid w:val="7C453CC1"/>
    <w:multiLevelType w:val="multilevel"/>
    <w:tmpl w:val="7C453CC1"/>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7D2D7CF5"/>
    <w:multiLevelType w:val="multilevel"/>
    <w:tmpl w:val="7D2D7CF5"/>
    <w:lvl w:ilvl="0" w:tentative="0">
      <w:start w:val="1"/>
      <w:numFmt w:val="lowerLetter"/>
      <w:lvlText w:val="%1."/>
      <w:lvlJc w:val="left"/>
      <w:pPr>
        <w:tabs>
          <w:tab w:val="left" w:pos="480"/>
        </w:tabs>
        <w:ind w:left="4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7F232414"/>
    <w:multiLevelType w:val="multilevel"/>
    <w:tmpl w:val="7F232414"/>
    <w:lvl w:ilvl="0" w:tentative="0">
      <w:start w:val="1"/>
      <w:numFmt w:val="decimal"/>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29"/>
  </w:num>
  <w:num w:numId="2">
    <w:abstractNumId w:val="14"/>
  </w:num>
  <w:num w:numId="3">
    <w:abstractNumId w:val="52"/>
  </w:num>
  <w:num w:numId="4">
    <w:abstractNumId w:val="3"/>
  </w:num>
  <w:num w:numId="5">
    <w:abstractNumId w:val="13"/>
  </w:num>
  <w:num w:numId="6">
    <w:abstractNumId w:val="10"/>
  </w:num>
  <w:num w:numId="7">
    <w:abstractNumId w:val="49"/>
  </w:num>
  <w:num w:numId="8">
    <w:abstractNumId w:val="27"/>
  </w:num>
  <w:num w:numId="9">
    <w:abstractNumId w:val="36"/>
  </w:num>
  <w:num w:numId="10">
    <w:abstractNumId w:val="4"/>
  </w:num>
  <w:num w:numId="11">
    <w:abstractNumId w:val="40"/>
  </w:num>
  <w:num w:numId="12">
    <w:abstractNumId w:val="12"/>
  </w:num>
  <w:num w:numId="13">
    <w:abstractNumId w:val="63"/>
  </w:num>
  <w:num w:numId="14">
    <w:abstractNumId w:val="18"/>
  </w:num>
  <w:num w:numId="15">
    <w:abstractNumId w:val="20"/>
  </w:num>
  <w:num w:numId="16">
    <w:abstractNumId w:val="65"/>
  </w:num>
  <w:num w:numId="17">
    <w:abstractNumId w:val="64"/>
  </w:num>
  <w:num w:numId="18">
    <w:abstractNumId w:val="53"/>
  </w:num>
  <w:num w:numId="19">
    <w:abstractNumId w:val="68"/>
  </w:num>
  <w:num w:numId="20">
    <w:abstractNumId w:val="57"/>
  </w:num>
  <w:num w:numId="21">
    <w:abstractNumId w:val="24"/>
  </w:num>
  <w:num w:numId="22">
    <w:abstractNumId w:val="2"/>
  </w:num>
  <w:num w:numId="23">
    <w:abstractNumId w:val="37"/>
  </w:num>
  <w:num w:numId="24">
    <w:abstractNumId w:val="51"/>
  </w:num>
  <w:num w:numId="25">
    <w:abstractNumId w:val="50"/>
  </w:num>
  <w:num w:numId="26">
    <w:abstractNumId w:val="69"/>
  </w:num>
  <w:num w:numId="27">
    <w:abstractNumId w:val="11"/>
  </w:num>
  <w:num w:numId="28">
    <w:abstractNumId w:val="38"/>
  </w:num>
  <w:num w:numId="29">
    <w:abstractNumId w:val="19"/>
  </w:num>
  <w:num w:numId="30">
    <w:abstractNumId w:val="32"/>
  </w:num>
  <w:num w:numId="31">
    <w:abstractNumId w:val="6"/>
  </w:num>
  <w:num w:numId="32">
    <w:abstractNumId w:val="60"/>
  </w:num>
  <w:num w:numId="33">
    <w:abstractNumId w:val="23"/>
  </w:num>
  <w:num w:numId="34">
    <w:abstractNumId w:val="45"/>
  </w:num>
  <w:num w:numId="35">
    <w:abstractNumId w:val="62"/>
  </w:num>
  <w:num w:numId="36">
    <w:abstractNumId w:val="15"/>
  </w:num>
  <w:num w:numId="37">
    <w:abstractNumId w:val="66"/>
  </w:num>
  <w:num w:numId="38">
    <w:abstractNumId w:val="34"/>
  </w:num>
  <w:num w:numId="39">
    <w:abstractNumId w:val="70"/>
  </w:num>
  <w:num w:numId="40">
    <w:abstractNumId w:val="26"/>
  </w:num>
  <w:num w:numId="41">
    <w:abstractNumId w:val="67"/>
  </w:num>
  <w:num w:numId="42">
    <w:abstractNumId w:val="33"/>
  </w:num>
  <w:num w:numId="43">
    <w:abstractNumId w:val="42"/>
  </w:num>
  <w:num w:numId="44">
    <w:abstractNumId w:val="54"/>
  </w:num>
  <w:num w:numId="45">
    <w:abstractNumId w:val="43"/>
  </w:num>
  <w:num w:numId="46">
    <w:abstractNumId w:val="22"/>
  </w:num>
  <w:num w:numId="47">
    <w:abstractNumId w:val="17"/>
  </w:num>
  <w:num w:numId="48">
    <w:abstractNumId w:val="7"/>
  </w:num>
  <w:num w:numId="49">
    <w:abstractNumId w:val="61"/>
  </w:num>
  <w:num w:numId="50">
    <w:abstractNumId w:val="44"/>
  </w:num>
  <w:num w:numId="51">
    <w:abstractNumId w:val="47"/>
  </w:num>
  <w:num w:numId="52">
    <w:abstractNumId w:val="59"/>
  </w:num>
  <w:num w:numId="53">
    <w:abstractNumId w:val="25"/>
  </w:num>
  <w:num w:numId="54">
    <w:abstractNumId w:val="31"/>
  </w:num>
  <w:num w:numId="55">
    <w:abstractNumId w:val="41"/>
  </w:num>
  <w:num w:numId="56">
    <w:abstractNumId w:val="16"/>
  </w:num>
  <w:num w:numId="57">
    <w:abstractNumId w:val="56"/>
  </w:num>
  <w:num w:numId="58">
    <w:abstractNumId w:val="8"/>
  </w:num>
  <w:num w:numId="59">
    <w:abstractNumId w:val="30"/>
  </w:num>
  <w:num w:numId="60">
    <w:abstractNumId w:val="46"/>
  </w:num>
  <w:num w:numId="61">
    <w:abstractNumId w:val="58"/>
  </w:num>
  <w:num w:numId="62">
    <w:abstractNumId w:val="0"/>
  </w:num>
  <w:num w:numId="63">
    <w:abstractNumId w:val="55"/>
  </w:num>
  <w:num w:numId="64">
    <w:abstractNumId w:val="39"/>
  </w:num>
  <w:num w:numId="65">
    <w:abstractNumId w:val="5"/>
  </w:num>
  <w:num w:numId="66">
    <w:abstractNumId w:val="48"/>
  </w:num>
  <w:num w:numId="67">
    <w:abstractNumId w:val="9"/>
  </w:num>
  <w:num w:numId="68">
    <w:abstractNumId w:val="35"/>
  </w:num>
  <w:num w:numId="69">
    <w:abstractNumId w:val="1"/>
  </w:num>
  <w:num w:numId="70">
    <w:abstractNumId w:val="28"/>
  </w:num>
  <w:num w:numId="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xYzc1OGZiZmYwOWExMDBhODZhMjc0OTljZDQ0NzUifQ=="/>
  </w:docVars>
  <w:rsids>
    <w:rsidRoot w:val="008D1E1F"/>
    <w:rsid w:val="000003F4"/>
    <w:rsid w:val="00005BD4"/>
    <w:rsid w:val="000D71CA"/>
    <w:rsid w:val="00111117"/>
    <w:rsid w:val="00166C7E"/>
    <w:rsid w:val="00183C2A"/>
    <w:rsid w:val="00190F51"/>
    <w:rsid w:val="001C3DB8"/>
    <w:rsid w:val="002A5D4B"/>
    <w:rsid w:val="002C2E74"/>
    <w:rsid w:val="00316E94"/>
    <w:rsid w:val="003C3B98"/>
    <w:rsid w:val="007110E1"/>
    <w:rsid w:val="00737239"/>
    <w:rsid w:val="008D1E1F"/>
    <w:rsid w:val="009005A4"/>
    <w:rsid w:val="00912A59"/>
    <w:rsid w:val="009F1CD0"/>
    <w:rsid w:val="009F544A"/>
    <w:rsid w:val="009F7BCA"/>
    <w:rsid w:val="00A109F7"/>
    <w:rsid w:val="00AB2A85"/>
    <w:rsid w:val="00B70708"/>
    <w:rsid w:val="00BB3927"/>
    <w:rsid w:val="00BB3F06"/>
    <w:rsid w:val="00C24517"/>
    <w:rsid w:val="00C6427D"/>
    <w:rsid w:val="00CA31FB"/>
    <w:rsid w:val="00DB5AF5"/>
    <w:rsid w:val="00DB7BDA"/>
    <w:rsid w:val="00E33FFD"/>
    <w:rsid w:val="00F15116"/>
    <w:rsid w:val="0FDC2F92"/>
    <w:rsid w:val="40683482"/>
    <w:rsid w:val="474C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Calibri" w:hAnsi="Calibri" w:eastAsia="宋体" w:cs="Times New Roman"/>
      <w:szCs w:val="24"/>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rFonts w:asciiTheme="minorHAnsi" w:hAnsiTheme="minorHAnsi" w:eastAsiaTheme="minorEastAsia" w:cstheme="minorBidi"/>
      <w:b/>
      <w:bCs/>
      <w:szCs w:val="22"/>
    </w:rPr>
  </w:style>
  <w:style w:type="table" w:styleId="7">
    <w:name w:val="Table Grid"/>
    <w:basedOn w:val="6"/>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文字 字符"/>
    <w:basedOn w:val="8"/>
    <w:link w:val="2"/>
    <w:qFormat/>
    <w:uiPriority w:val="99"/>
    <w:rPr>
      <w:rFonts w:ascii="Calibri" w:hAnsi="Calibri" w:eastAsia="宋体" w:cs="Times New Roman"/>
      <w:szCs w:val="24"/>
    </w:rPr>
  </w:style>
  <w:style w:type="character" w:customStyle="1" w:styleId="13">
    <w:name w:val="批注主题 字符"/>
    <w:basedOn w:val="12"/>
    <w:link w:val="5"/>
    <w:semiHidden/>
    <w:qFormat/>
    <w:uiPriority w:val="99"/>
    <w:rPr>
      <w:rFonts w:ascii="Calibri" w:hAnsi="Calibri" w:eastAsia="宋体" w:cs="Times New Roman"/>
      <w:b/>
      <w:bCs/>
      <w:szCs w:val="24"/>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C08AD36BDC470E87170396F26703DE"/>
        <w:style w:val=""/>
        <w:category>
          <w:name w:val="常规"/>
          <w:gallery w:val="placeholder"/>
        </w:category>
        <w:types>
          <w:type w:val="bbPlcHdr"/>
        </w:types>
        <w:behaviors>
          <w:behavior w:val="content"/>
        </w:behaviors>
        <w:description w:val=""/>
        <w:guid w:val="{8BA1A49B-E7BF-4ECC-96DD-580EBE2A6401}"/>
      </w:docPartPr>
      <w:docPartBody>
        <w:p w14:paraId="4251AB09">
          <w:pPr>
            <w:pStyle w:val="5"/>
          </w:pPr>
          <w:r>
            <w:rPr>
              <w:rStyle w:val="4"/>
              <w:rFonts w:hint="eastAsia"/>
              <w:color w:val="FF0000"/>
              <w:sz w:val="24"/>
              <w:u w:val="single"/>
            </w:rPr>
            <w:t>点击输入履约担保金额，一般为合同金额1</w:t>
          </w:r>
          <w:r>
            <w:rPr>
              <w:rStyle w:val="4"/>
              <w:color w:val="FF0000"/>
              <w:sz w:val="24"/>
              <w:u w:val="single"/>
            </w:rPr>
            <w:t>0</w:t>
          </w:r>
          <w:r>
            <w:rPr>
              <w:rStyle w:val="4"/>
              <w:rFonts w:hint="eastAsia"/>
              <w:color w:val="FF0000"/>
              <w:sz w:val="24"/>
              <w:u w:val="single"/>
            </w:rPr>
            <w:t>%</w:t>
          </w:r>
        </w:p>
      </w:docPartBody>
    </w:docPart>
    <w:docPart>
      <w:docPartPr>
        <w:name w:val="2AA5A6DE2625492EBEAB984137A94A5B"/>
        <w:style w:val=""/>
        <w:category>
          <w:name w:val="常规"/>
          <w:gallery w:val="placeholder"/>
        </w:category>
        <w:types>
          <w:type w:val="bbPlcHdr"/>
        </w:types>
        <w:behaviors>
          <w:behavior w:val="content"/>
        </w:behaviors>
        <w:description w:val=""/>
        <w:guid w:val="{D9874096-1E28-4AAB-8FAD-7BCED3D76F09}"/>
      </w:docPartPr>
      <w:docPartBody>
        <w:p w14:paraId="6B0BC819">
          <w:pPr>
            <w:pStyle w:val="6"/>
          </w:pPr>
          <w:r>
            <w:rPr>
              <w:rStyle w:val="4"/>
            </w:rPr>
            <w:t>单击或点击此处输入文字。</w:t>
          </w:r>
        </w:p>
      </w:docPartBody>
    </w:docPart>
    <w:docPart>
      <w:docPartPr>
        <w:name w:val="48BEEDC3DFEB4158BE6C3F152BE20EA5"/>
        <w:style w:val=""/>
        <w:category>
          <w:name w:val="常规"/>
          <w:gallery w:val="placeholder"/>
        </w:category>
        <w:types>
          <w:type w:val="bbPlcHdr"/>
        </w:types>
        <w:behaviors>
          <w:behavior w:val="content"/>
        </w:behaviors>
        <w:description w:val=""/>
        <w:guid w:val="{FE6C77CC-1C5A-47A5-8BA6-14FC96A1CA28}"/>
      </w:docPartPr>
      <w:docPartBody>
        <w:p w14:paraId="1AF7409D">
          <w:pPr>
            <w:pStyle w:val="7"/>
          </w:pPr>
          <w:r>
            <w:rPr>
              <w:rStyle w:val="4"/>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03"/>
    <w:rsid w:val="00114998"/>
    <w:rsid w:val="004560E0"/>
    <w:rsid w:val="00493F18"/>
    <w:rsid w:val="006B5BE7"/>
    <w:rsid w:val="00714AC5"/>
    <w:rsid w:val="008D4BFE"/>
    <w:rsid w:val="00C808B7"/>
    <w:rsid w:val="00D73770"/>
    <w:rsid w:val="00E03D03"/>
    <w:rsid w:val="00EA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7C08AD36BDC470E87170396F26703DE"/>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AA5A6DE2625492EBEAB984137A94A5B"/>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48BEEDC3DFEB4158BE6C3F152BE20EA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3866</Words>
  <Characters>4154</Characters>
  <Lines>77</Lines>
  <Paragraphs>21</Paragraphs>
  <TotalTime>5</TotalTime>
  <ScaleCrop>false</ScaleCrop>
  <LinksUpToDate>false</LinksUpToDate>
  <CharactersWithSpaces>4208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2023-07-19T00:40:00Z</dcterms:created>
  <dc:creator>Administrator</dc:creator>
  <cp:lastModifiedBy>雷明锋</cp:lastModifiedBy>
  <dcterms:modified xsi:type="dcterms:W3CDTF">2024-11-01T02:17:44Z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7943C0B0A28B490FA1A0822DDFA53A10_13</vt:lpwstr>
  </property>
</Properties>
</file>