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40E0D">
      <w:pPr>
        <w:widowControl/>
        <w:shd w:val="clear" w:color="auto" w:fill="FFFFFF"/>
        <w:spacing w:after="90"/>
        <w:jc w:val="center"/>
        <w:outlineLvl w:val="0"/>
        <w:rPr>
          <w:rFonts w:cs="宋体" w:asciiTheme="minorEastAsia" w:hAnsiTheme="minorEastAsia"/>
          <w:b/>
          <w:color w:val="333333"/>
          <w:kern w:val="36"/>
          <w:sz w:val="28"/>
          <w:szCs w:val="24"/>
        </w:rPr>
      </w:pPr>
      <w:r>
        <w:rPr>
          <w:rFonts w:hint="eastAsia" w:cs="宋体" w:asciiTheme="minorEastAsia" w:hAnsiTheme="minorEastAsia"/>
          <w:b/>
          <w:color w:val="333333"/>
          <w:kern w:val="36"/>
          <w:sz w:val="28"/>
          <w:szCs w:val="24"/>
        </w:rPr>
        <w:t>中国教育工会中山大学肿瘤医院委员会</w:t>
      </w:r>
    </w:p>
    <w:p w14:paraId="32092F09">
      <w:pPr>
        <w:widowControl/>
        <w:shd w:val="clear" w:color="auto" w:fill="FFFFFF"/>
        <w:spacing w:after="90"/>
        <w:jc w:val="center"/>
        <w:outlineLvl w:val="0"/>
        <w:rPr>
          <w:rFonts w:cs="宋体" w:asciiTheme="minorEastAsia" w:hAnsiTheme="minorEastAsia"/>
          <w:b/>
          <w:color w:val="333333"/>
          <w:kern w:val="36"/>
          <w:sz w:val="28"/>
          <w:szCs w:val="24"/>
        </w:rPr>
      </w:pPr>
      <w:r>
        <w:rPr>
          <w:rFonts w:hint="eastAsia" w:cs="宋体" w:asciiTheme="minorEastAsia" w:hAnsiTheme="minorEastAsia"/>
          <w:b/>
          <w:color w:val="333333"/>
          <w:kern w:val="36"/>
          <w:sz w:val="28"/>
          <w:szCs w:val="24"/>
          <w:lang w:val="en-US" w:eastAsia="zh-CN"/>
        </w:rPr>
        <w:t>2025年</w:t>
      </w:r>
      <w:r>
        <w:rPr>
          <w:rFonts w:hint="eastAsia" w:cs="宋体" w:asciiTheme="minorEastAsia" w:hAnsiTheme="minorEastAsia"/>
          <w:b/>
          <w:color w:val="333333"/>
          <w:kern w:val="36"/>
          <w:sz w:val="28"/>
          <w:szCs w:val="24"/>
        </w:rPr>
        <w:t>放射疗休养服务项目</w:t>
      </w:r>
    </w:p>
    <w:p w14:paraId="70B3FCA4">
      <w:pPr>
        <w:widowControl/>
        <w:shd w:val="clear" w:color="auto" w:fill="FFFFFF"/>
        <w:spacing w:after="90"/>
        <w:jc w:val="center"/>
        <w:outlineLvl w:val="0"/>
        <w:rPr>
          <w:rFonts w:asciiTheme="minorEastAsia" w:hAnsiTheme="minorEastAsia"/>
          <w:sz w:val="24"/>
          <w:szCs w:val="24"/>
        </w:rPr>
      </w:pPr>
      <w:r>
        <w:rPr>
          <w:rFonts w:hint="eastAsia" w:cs="宋体" w:asciiTheme="minorEastAsia" w:hAnsiTheme="minorEastAsia"/>
          <w:b/>
          <w:color w:val="333333"/>
          <w:kern w:val="36"/>
          <w:sz w:val="28"/>
          <w:szCs w:val="24"/>
        </w:rPr>
        <w:t>市场调研公告</w:t>
      </w:r>
    </w:p>
    <w:p w14:paraId="30082BE5">
      <w:pPr>
        <w:widowControl/>
        <w:spacing w:line="360" w:lineRule="auto"/>
        <w:jc w:val="left"/>
        <w:rPr>
          <w:rFonts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b/>
          <w:bCs/>
          <w:color w:val="000000" w:themeColor="text1"/>
          <w:kern w:val="0"/>
          <w:sz w:val="24"/>
          <w:szCs w:val="24"/>
          <w:shd w:val="clear" w:color="auto" w:fill="FFFFFF"/>
          <w14:textFill>
            <w14:solidFill>
              <w14:schemeClr w14:val="tx1"/>
            </w14:solidFill>
          </w14:textFill>
        </w:rPr>
        <w:t>一、项目概况</w:t>
      </w:r>
    </w:p>
    <w:p w14:paraId="7D9DC648">
      <w:pPr>
        <w:pStyle w:val="23"/>
        <w:spacing w:after="156" w:line="360" w:lineRule="auto"/>
        <w:ind w:firstLine="480"/>
        <w:rPr>
          <w:rFonts w:ascii="宋体" w:hAnsi="宋体" w:cs="宋体"/>
          <w:color w:val="000000"/>
          <w:sz w:val="24"/>
          <w:szCs w:val="24"/>
        </w:rPr>
      </w:pPr>
      <w:r>
        <w:rPr>
          <w:rFonts w:hint="eastAsia" w:ascii="宋体" w:hAnsi="宋体" w:cs="宋体"/>
          <w:color w:val="000000"/>
          <w:sz w:val="24"/>
          <w:szCs w:val="24"/>
        </w:rPr>
        <w:t>中国教育工会中山大学肿瘤医院委员会拟为放射工龄满20年的会员采购疗休养服务，本项目预算：4</w:t>
      </w:r>
      <w:r>
        <w:rPr>
          <w:rFonts w:hint="eastAsia" w:ascii="宋体" w:hAnsi="宋体" w:cs="宋体"/>
          <w:color w:val="000000"/>
          <w:sz w:val="24"/>
          <w:szCs w:val="24"/>
          <w:lang w:val="en-US" w:eastAsia="zh-CN"/>
        </w:rPr>
        <w:t>7.5</w:t>
      </w:r>
      <w:r>
        <w:rPr>
          <w:rFonts w:hint="eastAsia" w:ascii="宋体" w:hAnsi="宋体" w:cs="宋体"/>
          <w:color w:val="000000"/>
          <w:sz w:val="24"/>
          <w:szCs w:val="24"/>
        </w:rPr>
        <w:t>万元，服务人数约1</w:t>
      </w:r>
      <w:r>
        <w:rPr>
          <w:rFonts w:hint="eastAsia" w:ascii="宋体" w:hAnsi="宋体" w:cs="宋体"/>
          <w:color w:val="000000"/>
          <w:sz w:val="24"/>
          <w:szCs w:val="24"/>
          <w:lang w:val="en-US" w:eastAsia="zh-CN"/>
        </w:rPr>
        <w:t>9</w:t>
      </w:r>
      <w:r>
        <w:rPr>
          <w:rFonts w:hint="eastAsia" w:ascii="宋体" w:hAnsi="宋体" w:cs="宋体"/>
          <w:color w:val="000000"/>
          <w:sz w:val="24"/>
          <w:szCs w:val="24"/>
        </w:rPr>
        <w:t>0人，人均单价2500元/人，具体以实际人数结算为准。</w:t>
      </w:r>
    </w:p>
    <w:p w14:paraId="680B873E">
      <w:pPr>
        <w:widowControl/>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shd w:val="clear" w:color="auto" w:fill="FFFFFF"/>
          <w14:textFill>
            <w14:solidFill>
              <w14:schemeClr w14:val="tx1"/>
            </w14:solidFill>
          </w14:textFill>
        </w:rPr>
        <w:t>二、服务项目</w:t>
      </w:r>
    </w:p>
    <w:tbl>
      <w:tblPr>
        <w:tblStyle w:val="1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2127"/>
        <w:gridCol w:w="1985"/>
        <w:gridCol w:w="2125"/>
      </w:tblGrid>
      <w:tr w14:paraId="6CF9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97" w:type="dxa"/>
            <w:noWrap/>
            <w:vAlign w:val="center"/>
          </w:tcPr>
          <w:p w14:paraId="6E1364DE">
            <w:pPr>
              <w:jc w:val="center"/>
              <w:rPr>
                <w:rFonts w:eastAsia="宋体" w:cs="Times New Roman" w:asciiTheme="minorEastAsia" w:hAnsiTheme="minorEastAsia"/>
                <w:b/>
                <w:bCs/>
                <w:kern w:val="0"/>
                <w:sz w:val="24"/>
                <w:szCs w:val="24"/>
              </w:rPr>
            </w:pPr>
            <w:r>
              <w:rPr>
                <w:rFonts w:hint="eastAsia" w:eastAsia="宋体" w:cs="Times New Roman" w:asciiTheme="minorEastAsia" w:hAnsiTheme="minorEastAsia"/>
                <w:b/>
                <w:bCs/>
                <w:kern w:val="0"/>
                <w:sz w:val="24"/>
                <w:szCs w:val="24"/>
              </w:rPr>
              <w:t>序号</w:t>
            </w:r>
          </w:p>
        </w:tc>
        <w:tc>
          <w:tcPr>
            <w:tcW w:w="2033" w:type="dxa"/>
            <w:noWrap/>
            <w:vAlign w:val="center"/>
          </w:tcPr>
          <w:p w14:paraId="1C993149">
            <w:pPr>
              <w:jc w:val="center"/>
              <w:rPr>
                <w:rFonts w:eastAsia="宋体" w:cs="Times New Roman" w:asciiTheme="minorEastAsia" w:hAnsiTheme="minorEastAsia"/>
                <w:b/>
                <w:bCs/>
                <w:kern w:val="0"/>
                <w:sz w:val="24"/>
                <w:szCs w:val="24"/>
              </w:rPr>
            </w:pPr>
            <w:r>
              <w:rPr>
                <w:rFonts w:hint="eastAsia" w:eastAsia="宋体" w:cs="Times New Roman" w:asciiTheme="minorEastAsia" w:hAnsiTheme="minorEastAsia"/>
                <w:b/>
                <w:bCs/>
                <w:kern w:val="0"/>
                <w:sz w:val="24"/>
                <w:szCs w:val="24"/>
              </w:rPr>
              <w:t>项目名称</w:t>
            </w:r>
          </w:p>
        </w:tc>
        <w:tc>
          <w:tcPr>
            <w:tcW w:w="2127" w:type="dxa"/>
            <w:vAlign w:val="center"/>
          </w:tcPr>
          <w:p w14:paraId="7CD1247E">
            <w:pPr>
              <w:jc w:val="center"/>
              <w:rPr>
                <w:rFonts w:eastAsia="宋体" w:cs="Times New Roman" w:asciiTheme="minorEastAsia" w:hAnsiTheme="minorEastAsia"/>
                <w:b/>
                <w:bCs/>
                <w:kern w:val="0"/>
                <w:sz w:val="24"/>
                <w:szCs w:val="24"/>
              </w:rPr>
            </w:pPr>
            <w:r>
              <w:rPr>
                <w:rFonts w:hint="eastAsia" w:eastAsia="宋体" w:cs="Times New Roman" w:asciiTheme="minorEastAsia" w:hAnsiTheme="minorEastAsia"/>
                <w:b/>
                <w:bCs/>
                <w:kern w:val="0"/>
                <w:sz w:val="24"/>
                <w:szCs w:val="24"/>
              </w:rPr>
              <w:t>人数</w:t>
            </w:r>
          </w:p>
        </w:tc>
        <w:tc>
          <w:tcPr>
            <w:tcW w:w="1985" w:type="dxa"/>
            <w:vAlign w:val="center"/>
          </w:tcPr>
          <w:p w14:paraId="326B4C73">
            <w:pPr>
              <w:jc w:val="center"/>
              <w:rPr>
                <w:rFonts w:eastAsia="宋体" w:cs="Times New Roman" w:asciiTheme="minorEastAsia" w:hAnsiTheme="minorEastAsia"/>
                <w:b/>
                <w:bCs/>
                <w:kern w:val="0"/>
                <w:sz w:val="24"/>
                <w:szCs w:val="24"/>
              </w:rPr>
            </w:pPr>
            <w:r>
              <w:rPr>
                <w:rFonts w:hint="eastAsia" w:eastAsia="宋体" w:cs="Times New Roman" w:asciiTheme="minorEastAsia" w:hAnsiTheme="minorEastAsia"/>
                <w:b/>
                <w:bCs/>
                <w:kern w:val="0"/>
                <w:sz w:val="24"/>
                <w:szCs w:val="24"/>
              </w:rPr>
              <w:t>标准</w:t>
            </w:r>
          </w:p>
        </w:tc>
        <w:tc>
          <w:tcPr>
            <w:tcW w:w="2125" w:type="dxa"/>
            <w:vAlign w:val="center"/>
          </w:tcPr>
          <w:p w14:paraId="3B84DD4A">
            <w:pPr>
              <w:jc w:val="center"/>
              <w:rPr>
                <w:rFonts w:eastAsia="宋体" w:cs="Times New Roman" w:asciiTheme="minorEastAsia" w:hAnsiTheme="minorEastAsia"/>
                <w:b/>
                <w:bCs/>
                <w:color w:val="000000" w:themeColor="text1"/>
                <w:kern w:val="0"/>
                <w:sz w:val="24"/>
                <w:szCs w:val="24"/>
                <w14:textFill>
                  <w14:solidFill>
                    <w14:schemeClr w14:val="tx1"/>
                  </w14:solidFill>
                </w14:textFill>
              </w:rPr>
            </w:pPr>
            <w:r>
              <w:rPr>
                <w:rFonts w:hint="eastAsia" w:eastAsia="宋体" w:cs="Times New Roman" w:asciiTheme="minorEastAsia" w:hAnsiTheme="minorEastAsia"/>
                <w:b/>
                <w:bCs/>
                <w:color w:val="000000" w:themeColor="text1"/>
                <w:kern w:val="0"/>
                <w:sz w:val="24"/>
                <w:szCs w:val="24"/>
                <w14:textFill>
                  <w14:solidFill>
                    <w14:schemeClr w14:val="tx1"/>
                  </w14:solidFill>
                </w14:textFill>
              </w:rPr>
              <w:t>备注</w:t>
            </w:r>
          </w:p>
        </w:tc>
      </w:tr>
      <w:tr w14:paraId="267A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97" w:type="dxa"/>
            <w:noWrap/>
            <w:vAlign w:val="center"/>
          </w:tcPr>
          <w:p w14:paraId="03869559">
            <w:pPr>
              <w:jc w:val="center"/>
              <w:rPr>
                <w:rFonts w:eastAsia="宋体" w:cs="Times New Roman" w:asciiTheme="minorEastAsia" w:hAnsiTheme="minorEastAsia"/>
                <w:b/>
                <w:bCs/>
                <w:kern w:val="0"/>
                <w:sz w:val="24"/>
                <w:szCs w:val="24"/>
              </w:rPr>
            </w:pPr>
            <w:r>
              <w:rPr>
                <w:rFonts w:hint="eastAsia" w:eastAsia="宋体" w:cs="Times New Roman" w:asciiTheme="minorEastAsia" w:hAnsiTheme="minorEastAsia"/>
                <w:b/>
                <w:bCs/>
                <w:kern w:val="0"/>
                <w:sz w:val="24"/>
                <w:szCs w:val="24"/>
              </w:rPr>
              <w:t>1</w:t>
            </w:r>
          </w:p>
        </w:tc>
        <w:tc>
          <w:tcPr>
            <w:tcW w:w="2033" w:type="dxa"/>
            <w:noWrap/>
            <w:vAlign w:val="center"/>
          </w:tcPr>
          <w:p w14:paraId="558180FD">
            <w:pPr>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放射疗休养</w:t>
            </w:r>
          </w:p>
        </w:tc>
        <w:tc>
          <w:tcPr>
            <w:tcW w:w="2127" w:type="dxa"/>
            <w:vAlign w:val="center"/>
          </w:tcPr>
          <w:p w14:paraId="5532B610">
            <w:pPr>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约1</w:t>
            </w:r>
            <w:r>
              <w:rPr>
                <w:rFonts w:hint="eastAsia" w:eastAsia="宋体" w:cs="Times New Roman" w:asciiTheme="minorEastAsia" w:hAnsiTheme="minorEastAsia"/>
                <w:bCs/>
                <w:kern w:val="0"/>
                <w:sz w:val="24"/>
                <w:szCs w:val="24"/>
                <w:lang w:val="en-US" w:eastAsia="zh-CN"/>
              </w:rPr>
              <w:t>9</w:t>
            </w:r>
            <w:r>
              <w:rPr>
                <w:rFonts w:hint="eastAsia" w:eastAsia="宋体" w:cs="Times New Roman" w:asciiTheme="minorEastAsia" w:hAnsiTheme="minorEastAsia"/>
                <w:bCs/>
                <w:kern w:val="0"/>
                <w:sz w:val="24"/>
                <w:szCs w:val="24"/>
              </w:rPr>
              <w:t>0人</w:t>
            </w:r>
          </w:p>
          <w:p w14:paraId="0B5E974D">
            <w:pPr>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（最终按实际出游人数计算）</w:t>
            </w:r>
          </w:p>
        </w:tc>
        <w:tc>
          <w:tcPr>
            <w:tcW w:w="1985" w:type="dxa"/>
            <w:vAlign w:val="center"/>
          </w:tcPr>
          <w:p w14:paraId="4E82D886">
            <w:pPr>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2500元/人次</w:t>
            </w:r>
          </w:p>
        </w:tc>
        <w:tc>
          <w:tcPr>
            <w:tcW w:w="2125" w:type="dxa"/>
            <w:vAlign w:val="center"/>
          </w:tcPr>
          <w:p w14:paraId="28C38A41">
            <w:pPr>
              <w:jc w:val="center"/>
              <w:rPr>
                <w:rFonts w:eastAsia="宋体" w:cs="Times New Roman" w:asciiTheme="minorEastAsia" w:hAnsiTheme="minorEastAsia"/>
                <w:bCs/>
                <w:color w:val="000000" w:themeColor="text1"/>
                <w:kern w:val="0"/>
                <w:sz w:val="24"/>
                <w:szCs w:val="24"/>
                <w14:textFill>
                  <w14:solidFill>
                    <w14:schemeClr w14:val="tx1"/>
                  </w14:solidFill>
                </w14:textFill>
              </w:rPr>
            </w:pPr>
            <w:r>
              <w:rPr>
                <w:rFonts w:hint="eastAsia" w:eastAsia="宋体" w:cs="Times New Roman" w:asciiTheme="minorEastAsia" w:hAnsiTheme="minorEastAsia"/>
                <w:bCs/>
                <w:color w:val="000000" w:themeColor="text1"/>
                <w:kern w:val="0"/>
                <w:sz w:val="24"/>
                <w:szCs w:val="24"/>
                <w14:textFill>
                  <w14:solidFill>
                    <w14:schemeClr w14:val="tx1"/>
                  </w14:solidFill>
                </w14:textFill>
              </w:rPr>
              <w:t>出游地点及时间：待定</w:t>
            </w:r>
          </w:p>
        </w:tc>
      </w:tr>
    </w:tbl>
    <w:p w14:paraId="0D7364B0">
      <w:pPr>
        <w:widowControl/>
        <w:spacing w:line="360" w:lineRule="auto"/>
        <w:jc w:val="left"/>
        <w:rPr>
          <w:rFonts w:cs="宋体" w:asciiTheme="minorEastAsia" w:hAnsiTheme="minorEastAsia"/>
          <w:b/>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b/>
          <w:color w:val="000000" w:themeColor="text1"/>
          <w:kern w:val="0"/>
          <w:sz w:val="24"/>
          <w:szCs w:val="24"/>
          <w:shd w:val="clear" w:color="auto" w:fill="FFFFFF"/>
          <w14:textFill>
            <w14:solidFill>
              <w14:schemeClr w14:val="tx1"/>
            </w14:solidFill>
          </w14:textFill>
        </w:rPr>
        <w:t>服务要求：</w:t>
      </w:r>
    </w:p>
    <w:p w14:paraId="778007FF">
      <w:pPr>
        <w:numPr>
          <w:ilvl w:val="0"/>
          <w:numId w:val="1"/>
        </w:numPr>
        <w:spacing w:line="360" w:lineRule="auto"/>
        <w:jc w:val="left"/>
        <w:rPr>
          <w:rFonts w:cs="宋体" w:asciiTheme="minorEastAsia" w:hAnsiTheme="minorEastAsia"/>
          <w:kern w:val="0"/>
          <w:sz w:val="24"/>
          <w:szCs w:val="24"/>
          <w:shd w:val="clear" w:color="auto" w:fill="FFFFFF"/>
        </w:rPr>
      </w:pPr>
      <w:r>
        <w:rPr>
          <w:rFonts w:hint="eastAsia" w:asciiTheme="minorEastAsia" w:hAnsiTheme="minorEastAsia"/>
          <w:color w:val="000000" w:themeColor="text1"/>
          <w:sz w:val="24"/>
          <w:szCs w:val="21"/>
          <w14:textFill>
            <w14:solidFill>
              <w14:schemeClr w14:val="tx1"/>
            </w14:solidFill>
          </w14:textFill>
        </w:rPr>
        <w:t>参照广东省总工会文件粤工总〔</w:t>
      </w:r>
      <w:r>
        <w:rPr>
          <w:rFonts w:hint="eastAsia" w:asciiTheme="minorEastAsia" w:hAnsiTheme="minorEastAsia"/>
          <w:color w:val="000000" w:themeColor="text1"/>
          <w:sz w:val="24"/>
          <w:szCs w:val="21"/>
          <w:lang w:val="en-US" w:eastAsia="zh-CN"/>
          <w14:textFill>
            <w14:solidFill>
              <w14:schemeClr w14:val="tx1"/>
            </w14:solidFill>
          </w14:textFill>
        </w:rPr>
        <w:t>2025〕1</w:t>
      </w:r>
      <w:r>
        <w:rPr>
          <w:rFonts w:hint="eastAsia" w:asciiTheme="minorEastAsia" w:hAnsiTheme="minorEastAsia"/>
          <w:color w:val="000000" w:themeColor="text1"/>
          <w:sz w:val="24"/>
          <w:szCs w:val="21"/>
          <w14:textFill>
            <w14:solidFill>
              <w14:schemeClr w14:val="tx1"/>
            </w14:solidFill>
          </w14:textFill>
        </w:rPr>
        <w:t xml:space="preserve"> 号《广东省总工会关于印发《广东省基层工会经费收支管理实施细则的通知》的相关规定，</w:t>
      </w:r>
      <w:r>
        <w:rPr>
          <w:rFonts w:hint="eastAsia" w:ascii="宋体" w:hAnsi="宋体"/>
          <w:sz w:val="24"/>
        </w:rPr>
        <w:t>分批次组织我院</w:t>
      </w:r>
      <w:r>
        <w:rPr>
          <w:rFonts w:hint="eastAsia" w:ascii="宋体" w:hAnsi="宋体" w:cs="宋体"/>
          <w:color w:val="000000"/>
          <w:sz w:val="24"/>
          <w:szCs w:val="24"/>
        </w:rPr>
        <w:t>放射工龄满20年的会员的</w:t>
      </w:r>
      <w:r>
        <w:rPr>
          <w:rFonts w:hint="eastAsia" w:ascii="宋体" w:hAnsi="宋体"/>
          <w:sz w:val="24"/>
        </w:rPr>
        <w:t>疗休养活动。</w:t>
      </w:r>
    </w:p>
    <w:p w14:paraId="3FFC9896">
      <w:pPr>
        <w:numPr>
          <w:ilvl w:val="0"/>
          <w:numId w:val="1"/>
        </w:numPr>
        <w:spacing w:line="360" w:lineRule="auto"/>
        <w:jc w:val="left"/>
        <w:rPr>
          <w:rFonts w:cs="宋体" w:asciiTheme="minorEastAsia" w:hAnsiTheme="minorEastAsia"/>
          <w:kern w:val="0"/>
          <w:sz w:val="24"/>
          <w:szCs w:val="24"/>
          <w:shd w:val="clear" w:color="auto" w:fill="FFFFFF"/>
        </w:rPr>
      </w:pPr>
      <w:r>
        <w:rPr>
          <w:rFonts w:hint="eastAsia" w:cs="宋体" w:asciiTheme="minorEastAsia" w:hAnsiTheme="minorEastAsia"/>
          <w:kern w:val="0"/>
          <w:sz w:val="24"/>
          <w:szCs w:val="24"/>
          <w:shd w:val="clear" w:color="auto" w:fill="FFFFFF"/>
        </w:rPr>
        <w:t>项目服务期间，中标人全权负责参加活动人员的交通、景点门票、餐饮、导游等服务接待工作</w:t>
      </w:r>
      <w:r>
        <w:rPr>
          <w:rFonts w:hint="eastAsia" w:asciiTheme="minorEastAsia" w:hAnsiTheme="minorEastAsia"/>
          <w:color w:val="000000" w:themeColor="text1"/>
          <w:sz w:val="24"/>
          <w:szCs w:val="21"/>
          <w14:textFill>
            <w14:solidFill>
              <w14:schemeClr w14:val="tx1"/>
            </w14:solidFill>
          </w14:textFill>
        </w:rPr>
        <w:t>。采购人不再支付</w:t>
      </w:r>
      <w:r>
        <w:rPr>
          <w:rFonts w:hint="eastAsia" w:asciiTheme="minorEastAsia" w:hAnsiTheme="minorEastAsia"/>
          <w:color w:val="000000" w:themeColor="text1"/>
          <w:sz w:val="24"/>
          <w:szCs w:val="21"/>
          <w:lang w:val="en-US" w:eastAsia="zh-CN"/>
          <w14:textFill>
            <w14:solidFill>
              <w14:schemeClr w14:val="tx1"/>
            </w14:solidFill>
          </w14:textFill>
        </w:rPr>
        <w:t>文件规定</w:t>
      </w:r>
      <w:r>
        <w:rPr>
          <w:rFonts w:hint="eastAsia" w:asciiTheme="minorEastAsia" w:hAnsiTheme="minorEastAsia"/>
          <w:color w:val="000000" w:themeColor="text1"/>
          <w:sz w:val="24"/>
          <w:szCs w:val="21"/>
          <w14:textFill>
            <w14:solidFill>
              <w14:schemeClr w14:val="tx1"/>
            </w14:solidFill>
          </w14:textFill>
        </w:rPr>
        <w:t>报价以外的任何费用。</w:t>
      </w:r>
      <w:r>
        <w:rPr>
          <w:rFonts w:hint="eastAsia" w:cs="宋体" w:asciiTheme="minorEastAsia" w:hAnsiTheme="minorEastAsia"/>
          <w:kern w:val="0"/>
          <w:sz w:val="24"/>
          <w:szCs w:val="24"/>
          <w:shd w:val="clear" w:color="auto" w:fill="FFFFFF"/>
        </w:rPr>
        <w:t>供应商应根据疗休养员工的需求，如遇个性化定制路线，可定制化线路、餐饮、住宿等要求，由此产生的差额费用由疗休养员工</w:t>
      </w:r>
      <w:r>
        <w:rPr>
          <w:rFonts w:hint="eastAsia" w:cs="宋体" w:asciiTheme="minorEastAsia" w:hAnsiTheme="minorEastAsia"/>
          <w:kern w:val="0"/>
          <w:sz w:val="24"/>
          <w:szCs w:val="24"/>
          <w:shd w:val="clear" w:color="auto" w:fill="FFFFFF"/>
          <w:lang w:val="en-US" w:eastAsia="zh-CN"/>
        </w:rPr>
        <w:t>自行</w:t>
      </w:r>
      <w:r>
        <w:rPr>
          <w:rFonts w:hint="eastAsia" w:cs="宋体" w:asciiTheme="minorEastAsia" w:hAnsiTheme="minorEastAsia"/>
          <w:kern w:val="0"/>
          <w:sz w:val="24"/>
          <w:szCs w:val="24"/>
          <w:shd w:val="clear" w:color="auto" w:fill="FFFFFF"/>
        </w:rPr>
        <w:t>承担，供应商提出合理的建议行程和报价并作出调整、完善和落实。</w:t>
      </w:r>
    </w:p>
    <w:p w14:paraId="1C4F2DC7">
      <w:pPr>
        <w:numPr>
          <w:ilvl w:val="0"/>
          <w:numId w:val="1"/>
        </w:numPr>
        <w:spacing w:line="360" w:lineRule="auto"/>
        <w:jc w:val="left"/>
        <w:rPr>
          <w:rFonts w:cs="宋体" w:asciiTheme="minorEastAsia" w:hAnsiTheme="minorEastAsia"/>
          <w:kern w:val="0"/>
          <w:sz w:val="24"/>
          <w:szCs w:val="24"/>
          <w:shd w:val="clear" w:color="auto" w:fill="FFFFFF"/>
        </w:rPr>
      </w:pPr>
      <w:r>
        <w:rPr>
          <w:rFonts w:hint="eastAsia" w:ascii="宋体" w:hAnsi="宋体"/>
          <w:sz w:val="24"/>
        </w:rPr>
        <w:t>投标人需提供附件中</w:t>
      </w:r>
      <w:r>
        <w:rPr>
          <w:rFonts w:hint="eastAsia" w:ascii="宋体" w:hAnsi="宋体"/>
          <w:b/>
          <w:bCs/>
          <w:color w:val="FF0000"/>
          <w:sz w:val="24"/>
        </w:rPr>
        <w:t>线路最高报价</w:t>
      </w:r>
      <w:r>
        <w:rPr>
          <w:rFonts w:hint="eastAsia" w:ascii="宋体" w:hAnsi="宋体"/>
          <w:sz w:val="24"/>
        </w:rPr>
        <w:t>，如有调整，请注明。</w:t>
      </w:r>
    </w:p>
    <w:tbl>
      <w:tblPr>
        <w:tblStyle w:val="12"/>
        <w:tblW w:w="10290" w:type="dxa"/>
        <w:tblInd w:w="-255" w:type="dxa"/>
        <w:tblLayout w:type="autofit"/>
        <w:tblCellMar>
          <w:top w:w="0" w:type="dxa"/>
          <w:left w:w="108" w:type="dxa"/>
          <w:bottom w:w="0" w:type="dxa"/>
          <w:right w:w="108" w:type="dxa"/>
        </w:tblCellMar>
      </w:tblPr>
      <w:tblGrid>
        <w:gridCol w:w="1710"/>
        <w:gridCol w:w="4245"/>
        <w:gridCol w:w="1080"/>
        <w:gridCol w:w="2155"/>
        <w:gridCol w:w="1100"/>
      </w:tblGrid>
      <w:tr w14:paraId="78C4A807">
        <w:tblPrEx>
          <w:tblCellMar>
            <w:top w:w="0" w:type="dxa"/>
            <w:left w:w="108" w:type="dxa"/>
            <w:bottom w:w="0" w:type="dxa"/>
            <w:right w:w="108" w:type="dxa"/>
          </w:tblCellMar>
        </w:tblPrEx>
        <w:trPr>
          <w:trHeight w:val="690" w:hRule="atLeast"/>
        </w:trPr>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78A8C">
            <w:pPr>
              <w:widowControl/>
              <w:jc w:val="center"/>
              <w:textAlignment w:val="center"/>
              <w:rPr>
                <w:rFonts w:ascii="宋体" w:hAnsi="宋体" w:eastAsia="宋体" w:cs="宋体"/>
                <w:b/>
                <w:bCs/>
                <w:color w:val="FF0000"/>
                <w:sz w:val="24"/>
                <w:szCs w:val="24"/>
              </w:rPr>
            </w:pPr>
            <w:r>
              <w:rPr>
                <w:rFonts w:hint="eastAsia" w:ascii="宋体" w:hAnsi="宋体" w:eastAsia="宋体" w:cs="宋体"/>
                <w:b/>
                <w:bCs/>
                <w:color w:val="FF0000"/>
                <w:kern w:val="0"/>
                <w:sz w:val="24"/>
                <w:szCs w:val="24"/>
                <w:lang w:bidi="ar"/>
              </w:rPr>
              <w:t>方案</w:t>
            </w:r>
          </w:p>
        </w:tc>
        <w:tc>
          <w:tcPr>
            <w:tcW w:w="4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D9643">
            <w:pPr>
              <w:widowControl/>
              <w:jc w:val="center"/>
              <w:textAlignment w:val="center"/>
              <w:rPr>
                <w:rFonts w:ascii="宋体" w:hAnsi="宋体" w:eastAsia="宋体" w:cs="宋体"/>
                <w:b/>
                <w:bCs/>
                <w:color w:val="FF0000"/>
                <w:sz w:val="24"/>
                <w:szCs w:val="24"/>
              </w:rPr>
            </w:pPr>
            <w:r>
              <w:rPr>
                <w:rFonts w:hint="eastAsia" w:ascii="宋体" w:hAnsi="宋体" w:eastAsia="宋体" w:cs="宋体"/>
                <w:b/>
                <w:bCs/>
                <w:color w:val="FF0000"/>
                <w:kern w:val="0"/>
                <w:sz w:val="24"/>
                <w:szCs w:val="24"/>
                <w:lang w:bidi="ar"/>
              </w:rPr>
              <w:t>具体线路</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6B454">
            <w:pPr>
              <w:widowControl/>
              <w:jc w:val="center"/>
              <w:textAlignment w:val="center"/>
              <w:rPr>
                <w:rFonts w:ascii="宋体" w:hAnsi="宋体" w:eastAsia="宋体" w:cs="宋体"/>
                <w:b/>
                <w:bCs/>
                <w:color w:val="FF0000"/>
                <w:sz w:val="24"/>
                <w:szCs w:val="24"/>
              </w:rPr>
            </w:pPr>
            <w:r>
              <w:rPr>
                <w:rFonts w:hint="eastAsia" w:ascii="宋体" w:hAnsi="宋体" w:eastAsia="宋体" w:cs="宋体"/>
                <w:b/>
                <w:bCs/>
                <w:color w:val="FF0000"/>
                <w:kern w:val="0"/>
                <w:sz w:val="24"/>
                <w:szCs w:val="24"/>
                <w:lang w:bidi="ar"/>
              </w:rPr>
              <w:t>建议成团人数</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9A93">
            <w:pPr>
              <w:widowControl/>
              <w:jc w:val="center"/>
              <w:textAlignment w:val="center"/>
              <w:rPr>
                <w:rFonts w:ascii="宋体" w:hAnsi="宋体" w:eastAsia="宋体" w:cs="宋体"/>
                <w:b/>
                <w:bCs/>
                <w:color w:val="FF0000"/>
                <w:sz w:val="24"/>
                <w:szCs w:val="24"/>
              </w:rPr>
            </w:pPr>
            <w:r>
              <w:rPr>
                <w:rFonts w:hint="eastAsia" w:ascii="宋体" w:hAnsi="宋体" w:eastAsia="宋体" w:cs="宋体"/>
                <w:b/>
                <w:bCs/>
                <w:color w:val="FF0000"/>
                <w:kern w:val="0"/>
                <w:sz w:val="24"/>
                <w:szCs w:val="24"/>
                <w:lang w:bidi="ar"/>
              </w:rPr>
              <w:t>单价最高</w:t>
            </w:r>
            <w:r>
              <w:rPr>
                <w:rFonts w:hint="eastAsia" w:ascii="宋体" w:hAnsi="宋体" w:eastAsia="宋体" w:cs="宋体"/>
                <w:b/>
                <w:bCs/>
                <w:color w:val="FF0000"/>
                <w:kern w:val="0"/>
                <w:sz w:val="24"/>
                <w:szCs w:val="24"/>
                <w:lang w:val="en-US" w:eastAsia="zh-CN" w:bidi="ar"/>
              </w:rPr>
              <w:t>报</w:t>
            </w:r>
            <w:r>
              <w:rPr>
                <w:rFonts w:hint="eastAsia" w:ascii="宋体" w:hAnsi="宋体" w:eastAsia="宋体" w:cs="宋体"/>
                <w:b/>
                <w:bCs/>
                <w:color w:val="FF0000"/>
                <w:kern w:val="0"/>
                <w:sz w:val="24"/>
                <w:szCs w:val="24"/>
                <w:lang w:bidi="ar"/>
              </w:rPr>
              <w:t>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93280">
            <w:pPr>
              <w:widowControl/>
              <w:jc w:val="center"/>
              <w:textAlignment w:val="center"/>
              <w:rPr>
                <w:rFonts w:ascii="宋体" w:hAnsi="宋体" w:eastAsia="宋体" w:cs="宋体"/>
                <w:b/>
                <w:bCs/>
                <w:color w:val="FF0000"/>
                <w:sz w:val="24"/>
                <w:szCs w:val="24"/>
              </w:rPr>
            </w:pPr>
            <w:r>
              <w:rPr>
                <w:rFonts w:hint="eastAsia" w:ascii="宋体" w:hAnsi="宋体" w:eastAsia="宋体" w:cs="宋体"/>
                <w:b/>
                <w:bCs/>
                <w:color w:val="FF0000"/>
                <w:kern w:val="0"/>
                <w:sz w:val="24"/>
                <w:szCs w:val="24"/>
                <w:lang w:bidi="ar"/>
              </w:rPr>
              <w:t>备注</w:t>
            </w:r>
          </w:p>
        </w:tc>
      </w:tr>
      <w:tr w14:paraId="603A5D49">
        <w:tblPrEx>
          <w:tblCellMar>
            <w:top w:w="0" w:type="dxa"/>
            <w:left w:w="108" w:type="dxa"/>
            <w:bottom w:w="0" w:type="dxa"/>
            <w:right w:w="108" w:type="dxa"/>
          </w:tblCellMar>
        </w:tblPrEx>
        <w:trPr>
          <w:trHeight w:val="780" w:hRule="atLeast"/>
        </w:trPr>
        <w:tc>
          <w:tcPr>
            <w:tcW w:w="171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9FE3110">
            <w:pPr>
              <w:jc w:val="center"/>
              <w:rPr>
                <w:rFonts w:ascii="宋体" w:hAnsi="宋体" w:eastAsia="宋体" w:cs="宋体"/>
                <w:b/>
                <w:bCs/>
                <w:color w:val="FF0000"/>
                <w:sz w:val="24"/>
                <w:szCs w:val="24"/>
              </w:rPr>
            </w:pPr>
          </w:p>
        </w:tc>
        <w:tc>
          <w:tcPr>
            <w:tcW w:w="424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4590CFB">
            <w:pPr>
              <w:jc w:val="center"/>
              <w:rPr>
                <w:rFonts w:ascii="宋体" w:hAnsi="宋体" w:eastAsia="宋体" w:cs="宋体"/>
                <w:b/>
                <w:bCs/>
                <w:color w:val="FF0000"/>
                <w:sz w:val="24"/>
                <w:szCs w:val="24"/>
              </w:rPr>
            </w:pPr>
          </w:p>
        </w:tc>
        <w:tc>
          <w:tcPr>
            <w:tcW w:w="108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513F6AF">
            <w:pPr>
              <w:jc w:val="center"/>
              <w:rPr>
                <w:rFonts w:ascii="宋体" w:hAnsi="宋体" w:eastAsia="宋体" w:cs="宋体"/>
                <w:b/>
                <w:bCs/>
                <w:color w:val="FF0000"/>
                <w:sz w:val="24"/>
                <w:szCs w:val="24"/>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DB50">
            <w:pPr>
              <w:widowControl/>
              <w:jc w:val="center"/>
              <w:textAlignment w:val="center"/>
              <w:rPr>
                <w:rFonts w:ascii="宋体" w:hAnsi="宋体" w:eastAsia="宋体" w:cs="宋体"/>
                <w:b/>
                <w:bCs/>
                <w:color w:val="FF0000"/>
                <w:sz w:val="24"/>
                <w:szCs w:val="24"/>
              </w:rPr>
            </w:pPr>
            <w:r>
              <w:rPr>
                <w:rFonts w:hint="eastAsia" w:ascii="宋体" w:hAnsi="宋体" w:eastAsia="宋体" w:cs="宋体"/>
                <w:b/>
                <w:bCs/>
                <w:color w:val="FF0000"/>
                <w:kern w:val="0"/>
                <w:sz w:val="24"/>
                <w:szCs w:val="24"/>
                <w:lang w:bidi="ar"/>
              </w:rPr>
              <w:t>（人民币  元/人/次）</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F836F">
            <w:pPr>
              <w:jc w:val="center"/>
              <w:rPr>
                <w:rFonts w:ascii="宋体" w:hAnsi="宋体" w:eastAsia="宋体" w:cs="宋体"/>
                <w:b/>
                <w:bCs/>
                <w:color w:val="FF0000"/>
                <w:sz w:val="24"/>
                <w:szCs w:val="24"/>
              </w:rPr>
            </w:pPr>
          </w:p>
        </w:tc>
      </w:tr>
      <w:tr w14:paraId="0E9E3717">
        <w:tblPrEx>
          <w:tblCellMar>
            <w:top w:w="0" w:type="dxa"/>
            <w:left w:w="108" w:type="dxa"/>
            <w:bottom w:w="0" w:type="dxa"/>
            <w:right w:w="108" w:type="dxa"/>
          </w:tblCellMar>
        </w:tblPrEx>
        <w:trPr>
          <w:trHeight w:val="769" w:hRule="atLeast"/>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C4B9539">
            <w:pPr>
              <w:widowControl/>
              <w:jc w:val="center"/>
              <w:textAlignment w:val="center"/>
              <w:rPr>
                <w:rFonts w:hint="eastAsia" w:ascii="宋体" w:hAnsi="宋体" w:eastAsia="宋体" w:cs="宋体"/>
                <w:b/>
                <w:bCs/>
                <w:color w:val="FF0000"/>
                <w:kern w:val="0"/>
                <w:sz w:val="24"/>
                <w:szCs w:val="24"/>
                <w:lang w:bidi="ar"/>
              </w:rPr>
            </w:pPr>
            <w:r>
              <w:rPr>
                <w:rFonts w:hint="eastAsia" w:ascii="宋体" w:hAnsi="宋体" w:eastAsia="宋体" w:cs="宋体"/>
                <w:b/>
                <w:bCs/>
                <w:color w:val="FF0000"/>
                <w:kern w:val="0"/>
                <w:sz w:val="24"/>
                <w:szCs w:val="24"/>
                <w:lang w:val="en-US" w:eastAsia="zh-CN" w:bidi="ar"/>
              </w:rPr>
              <w:t>方案一</w:t>
            </w: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14:paraId="49BB20DF">
            <w:pPr>
              <w:tabs>
                <w:tab w:val="left" w:pos="5103"/>
              </w:tabs>
              <w:spacing w:before="180" w:beforeLines="50" w:after="180" w:afterLines="50" w:line="500" w:lineRule="exact"/>
              <w:ind w:right="-99" w:rightChars="-47"/>
              <w:jc w:val="both"/>
              <w:rPr>
                <w:rFonts w:hint="eastAsia" w:ascii="宋体" w:hAnsi="宋体" w:eastAsia="宋体" w:cs="宋体"/>
                <w:b/>
                <w:bCs/>
                <w:color w:val="FF0000"/>
                <w:kern w:val="0"/>
                <w:sz w:val="24"/>
                <w:szCs w:val="24"/>
                <w:lang w:val="en-US" w:eastAsia="zh-CN" w:bidi="ar"/>
              </w:rPr>
            </w:pPr>
            <w:r>
              <w:rPr>
                <w:rFonts w:hint="eastAsia" w:ascii="宋体" w:hAnsi="宋体" w:eastAsia="宋体" w:cs="宋体"/>
                <w:b/>
                <w:bCs/>
                <w:color w:val="FF0000"/>
                <w:kern w:val="0"/>
                <w:sz w:val="24"/>
                <w:szCs w:val="24"/>
                <w:lang w:val="en-US" w:eastAsia="zh-CN" w:bidi="ar"/>
              </w:rPr>
              <w:t>呼伦贝尔大草原双飞6天</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E17CAD4">
            <w:pPr>
              <w:widowControl/>
              <w:jc w:val="left"/>
              <w:textAlignment w:val="center"/>
              <w:rPr>
                <w:rFonts w:ascii="宋体" w:hAnsi="宋体" w:eastAsia="宋体" w:cs="宋体"/>
                <w:color w:val="000000"/>
                <w:kern w:val="0"/>
                <w:sz w:val="24"/>
                <w:szCs w:val="24"/>
                <w:lang w:bidi="ar"/>
              </w:rPr>
            </w:pPr>
          </w:p>
        </w:tc>
        <w:tc>
          <w:tcPr>
            <w:tcW w:w="2155" w:type="dxa"/>
            <w:tcBorders>
              <w:top w:val="single" w:color="000000" w:sz="4" w:space="0"/>
              <w:left w:val="single" w:color="auto" w:sz="4" w:space="0"/>
              <w:bottom w:val="single" w:color="000000" w:sz="4" w:space="0"/>
              <w:right w:val="single" w:color="000000" w:sz="4" w:space="0"/>
            </w:tcBorders>
            <w:shd w:val="clear" w:color="auto" w:fill="auto"/>
            <w:vAlign w:val="center"/>
          </w:tcPr>
          <w:p w14:paraId="582C7960">
            <w:pPr>
              <w:jc w:val="center"/>
              <w:rPr>
                <w:rFonts w:ascii="宋体" w:hAnsi="宋体" w:eastAsia="宋体" w:cs="宋体"/>
                <w:b/>
                <w:bCs/>
                <w:color w:val="FF0000"/>
                <w:sz w:val="24"/>
                <w:szCs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DC08">
            <w:pPr>
              <w:jc w:val="center"/>
              <w:rPr>
                <w:rFonts w:ascii="宋体" w:hAnsi="宋体" w:eastAsia="宋体" w:cs="宋体"/>
                <w:b/>
                <w:bCs/>
                <w:color w:val="FF0000"/>
                <w:sz w:val="24"/>
                <w:szCs w:val="24"/>
              </w:rPr>
            </w:pPr>
          </w:p>
        </w:tc>
      </w:tr>
      <w:tr w14:paraId="23328B52">
        <w:tblPrEx>
          <w:tblCellMar>
            <w:top w:w="0" w:type="dxa"/>
            <w:left w:w="108" w:type="dxa"/>
            <w:bottom w:w="0" w:type="dxa"/>
            <w:right w:w="108" w:type="dxa"/>
          </w:tblCellMar>
        </w:tblPrEx>
        <w:trPr>
          <w:trHeight w:val="759" w:hRule="atLeast"/>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62D3582">
            <w:pPr>
              <w:widowControl/>
              <w:jc w:val="center"/>
              <w:textAlignment w:val="center"/>
              <w:rPr>
                <w:rFonts w:hint="eastAsia" w:ascii="宋体" w:hAnsi="宋体" w:eastAsia="宋体" w:cs="宋体"/>
                <w:b/>
                <w:bCs/>
                <w:color w:val="FF0000"/>
                <w:kern w:val="0"/>
                <w:sz w:val="24"/>
                <w:szCs w:val="24"/>
                <w:lang w:bidi="ar"/>
              </w:rPr>
            </w:pPr>
            <w:r>
              <w:rPr>
                <w:rFonts w:hint="eastAsia" w:ascii="宋体" w:hAnsi="宋体" w:eastAsia="宋体" w:cs="宋体"/>
                <w:b/>
                <w:bCs/>
                <w:color w:val="FF0000"/>
                <w:kern w:val="0"/>
                <w:sz w:val="24"/>
                <w:szCs w:val="24"/>
                <w:lang w:val="en-US" w:eastAsia="zh-CN" w:bidi="ar"/>
              </w:rPr>
              <w:t>方案二</w:t>
            </w: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14:paraId="50807A35">
            <w:pPr>
              <w:widowControl/>
              <w:jc w:val="left"/>
              <w:textAlignment w:val="center"/>
              <w:rPr>
                <w:rFonts w:hint="eastAsia" w:ascii="宋体" w:hAnsi="宋体" w:eastAsia="宋体" w:cs="宋体"/>
                <w:b/>
                <w:bCs/>
                <w:color w:val="FF0000"/>
                <w:kern w:val="0"/>
                <w:sz w:val="24"/>
                <w:szCs w:val="24"/>
                <w:lang w:val="en-US" w:eastAsia="zh-CN" w:bidi="ar"/>
              </w:rPr>
            </w:pPr>
            <w:r>
              <w:rPr>
                <w:rFonts w:hint="eastAsia" w:ascii="宋体" w:hAnsi="宋体" w:eastAsia="宋体" w:cs="宋体"/>
                <w:b/>
                <w:bCs/>
                <w:color w:val="FF0000"/>
                <w:kern w:val="0"/>
                <w:sz w:val="24"/>
                <w:szCs w:val="24"/>
                <w:lang w:val="en-US" w:eastAsia="zh-CN" w:bidi="ar"/>
              </w:rPr>
              <w:t>山东半岛、大连双飞5日</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4BD0859">
            <w:pPr>
              <w:widowControl/>
              <w:jc w:val="left"/>
              <w:textAlignment w:val="center"/>
              <w:rPr>
                <w:rFonts w:ascii="宋体" w:hAnsi="宋体" w:eastAsia="宋体" w:cs="宋体"/>
                <w:color w:val="000000"/>
                <w:kern w:val="0"/>
                <w:sz w:val="24"/>
                <w:szCs w:val="24"/>
                <w:lang w:bidi="ar"/>
              </w:rPr>
            </w:pPr>
          </w:p>
        </w:tc>
        <w:tc>
          <w:tcPr>
            <w:tcW w:w="2155" w:type="dxa"/>
            <w:tcBorders>
              <w:top w:val="single" w:color="000000" w:sz="4" w:space="0"/>
              <w:left w:val="single" w:color="auto" w:sz="4" w:space="0"/>
              <w:bottom w:val="single" w:color="000000" w:sz="4" w:space="0"/>
              <w:right w:val="single" w:color="000000" w:sz="4" w:space="0"/>
            </w:tcBorders>
            <w:shd w:val="clear" w:color="auto" w:fill="auto"/>
            <w:vAlign w:val="center"/>
          </w:tcPr>
          <w:p w14:paraId="433AF122">
            <w:pPr>
              <w:jc w:val="center"/>
              <w:rPr>
                <w:rFonts w:ascii="宋体" w:hAnsi="宋体" w:eastAsia="宋体" w:cs="宋体"/>
                <w:b/>
                <w:bCs/>
                <w:color w:val="FF0000"/>
                <w:sz w:val="24"/>
                <w:szCs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CF28">
            <w:pPr>
              <w:jc w:val="center"/>
              <w:rPr>
                <w:rFonts w:ascii="宋体" w:hAnsi="宋体" w:eastAsia="宋体" w:cs="宋体"/>
                <w:b/>
                <w:bCs/>
                <w:color w:val="FF0000"/>
                <w:sz w:val="24"/>
                <w:szCs w:val="24"/>
              </w:rPr>
            </w:pPr>
          </w:p>
        </w:tc>
      </w:tr>
      <w:tr w14:paraId="53567DC4">
        <w:tblPrEx>
          <w:tblCellMar>
            <w:top w:w="0" w:type="dxa"/>
            <w:left w:w="108" w:type="dxa"/>
            <w:bottom w:w="0" w:type="dxa"/>
            <w:right w:w="108" w:type="dxa"/>
          </w:tblCellMar>
        </w:tblPrEx>
        <w:trPr>
          <w:trHeight w:val="759" w:hRule="atLeast"/>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02F5CF0">
            <w:pPr>
              <w:widowControl/>
              <w:jc w:val="center"/>
              <w:textAlignment w:val="center"/>
              <w:rPr>
                <w:rFonts w:hint="eastAsia" w:ascii="宋体" w:hAnsi="宋体" w:eastAsia="宋体" w:cs="宋体"/>
                <w:b/>
                <w:bCs/>
                <w:color w:val="FF0000"/>
                <w:kern w:val="0"/>
                <w:sz w:val="24"/>
                <w:szCs w:val="24"/>
                <w:lang w:bidi="ar"/>
              </w:rPr>
            </w:pPr>
            <w:r>
              <w:rPr>
                <w:rFonts w:hint="eastAsia" w:ascii="宋体" w:hAnsi="宋体" w:eastAsia="宋体" w:cs="宋体"/>
                <w:b/>
                <w:bCs/>
                <w:color w:val="FF0000"/>
                <w:kern w:val="0"/>
                <w:sz w:val="24"/>
                <w:szCs w:val="24"/>
                <w:lang w:val="en-US" w:eastAsia="zh-CN" w:bidi="ar"/>
              </w:rPr>
              <w:t>方案三</w:t>
            </w: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14:paraId="324DC8F6">
            <w:pPr>
              <w:widowControl/>
              <w:jc w:val="left"/>
              <w:textAlignment w:val="center"/>
              <w:rPr>
                <w:rFonts w:hint="eastAsia" w:ascii="宋体" w:hAnsi="宋体" w:eastAsia="宋体" w:cs="宋体"/>
                <w:b/>
                <w:bCs/>
                <w:color w:val="FF0000"/>
                <w:kern w:val="0"/>
                <w:sz w:val="24"/>
                <w:szCs w:val="24"/>
                <w:lang w:val="en-US" w:eastAsia="zh-CN" w:bidi="ar"/>
              </w:rPr>
            </w:pPr>
            <w:r>
              <w:rPr>
                <w:rFonts w:hint="eastAsia" w:ascii="宋体" w:hAnsi="宋体" w:eastAsia="宋体" w:cs="宋体"/>
                <w:b/>
                <w:bCs/>
                <w:color w:val="FF0000"/>
                <w:kern w:val="0"/>
                <w:sz w:val="24"/>
                <w:szCs w:val="24"/>
                <w:lang w:val="en-US" w:eastAsia="zh-CN" w:bidi="ar"/>
              </w:rPr>
              <w:t>韶关经律论温泉小镇疗休养3天2晚</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DF78FD4">
            <w:pPr>
              <w:widowControl/>
              <w:jc w:val="left"/>
              <w:textAlignment w:val="center"/>
              <w:rPr>
                <w:rFonts w:ascii="宋体" w:hAnsi="宋体" w:eastAsia="宋体" w:cs="宋体"/>
                <w:color w:val="000000"/>
                <w:kern w:val="0"/>
                <w:sz w:val="24"/>
                <w:szCs w:val="24"/>
                <w:lang w:bidi="ar"/>
              </w:rPr>
            </w:pPr>
          </w:p>
        </w:tc>
        <w:tc>
          <w:tcPr>
            <w:tcW w:w="2155" w:type="dxa"/>
            <w:tcBorders>
              <w:top w:val="single" w:color="000000" w:sz="4" w:space="0"/>
              <w:left w:val="single" w:color="auto" w:sz="4" w:space="0"/>
              <w:bottom w:val="single" w:color="000000" w:sz="4" w:space="0"/>
              <w:right w:val="single" w:color="000000" w:sz="4" w:space="0"/>
            </w:tcBorders>
            <w:shd w:val="clear" w:color="auto" w:fill="auto"/>
            <w:vAlign w:val="center"/>
          </w:tcPr>
          <w:p w14:paraId="05C2B57D">
            <w:pPr>
              <w:jc w:val="center"/>
              <w:rPr>
                <w:rFonts w:ascii="宋体" w:hAnsi="宋体" w:eastAsia="宋体" w:cs="宋体"/>
                <w:b/>
                <w:bCs/>
                <w:color w:val="FF0000"/>
                <w:sz w:val="24"/>
                <w:szCs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09AE">
            <w:pPr>
              <w:jc w:val="center"/>
              <w:rPr>
                <w:rFonts w:ascii="宋体" w:hAnsi="宋体" w:eastAsia="宋体" w:cs="宋体"/>
                <w:b/>
                <w:bCs/>
                <w:color w:val="FF0000"/>
                <w:sz w:val="24"/>
                <w:szCs w:val="24"/>
              </w:rPr>
            </w:pPr>
          </w:p>
        </w:tc>
      </w:tr>
      <w:tr w14:paraId="077FCBF3">
        <w:tblPrEx>
          <w:tblCellMar>
            <w:top w:w="0" w:type="dxa"/>
            <w:left w:w="108" w:type="dxa"/>
            <w:bottom w:w="0" w:type="dxa"/>
            <w:right w:w="108" w:type="dxa"/>
          </w:tblCellMar>
        </w:tblPrEx>
        <w:trPr>
          <w:trHeight w:val="759" w:hRule="atLeast"/>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34426DB">
            <w:pPr>
              <w:widowControl/>
              <w:jc w:val="center"/>
              <w:textAlignment w:val="center"/>
              <w:rPr>
                <w:rFonts w:hint="eastAsia" w:ascii="宋体" w:hAnsi="宋体" w:eastAsia="宋体" w:cs="宋体"/>
                <w:b/>
                <w:bCs/>
                <w:color w:val="FF0000"/>
                <w:kern w:val="0"/>
                <w:sz w:val="24"/>
                <w:szCs w:val="24"/>
                <w:lang w:bidi="ar"/>
              </w:rPr>
            </w:pPr>
            <w:r>
              <w:rPr>
                <w:rFonts w:hint="eastAsia" w:ascii="宋体" w:hAnsi="宋体" w:eastAsia="宋体" w:cs="宋体"/>
                <w:b/>
                <w:bCs/>
                <w:color w:val="FF0000"/>
                <w:kern w:val="0"/>
                <w:sz w:val="24"/>
                <w:szCs w:val="24"/>
                <w:lang w:val="en-US" w:eastAsia="zh-CN" w:bidi="ar"/>
              </w:rPr>
              <w:t>方案四</w:t>
            </w: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14:paraId="2DA8025E">
            <w:pPr>
              <w:widowControl/>
              <w:jc w:val="left"/>
              <w:textAlignment w:val="center"/>
              <w:rPr>
                <w:rFonts w:hint="eastAsia" w:ascii="宋体" w:hAnsi="宋体" w:eastAsia="宋体" w:cs="宋体"/>
                <w:b/>
                <w:bCs/>
                <w:color w:val="FF0000"/>
                <w:kern w:val="0"/>
                <w:sz w:val="24"/>
                <w:szCs w:val="24"/>
                <w:lang w:val="en-US" w:eastAsia="zh-CN" w:bidi="ar"/>
              </w:rPr>
            </w:pPr>
            <w:r>
              <w:rPr>
                <w:rFonts w:hint="eastAsia" w:ascii="宋体" w:hAnsi="宋体" w:eastAsia="宋体" w:cs="宋体"/>
                <w:b/>
                <w:bCs/>
                <w:color w:val="FF0000"/>
                <w:kern w:val="0"/>
                <w:sz w:val="24"/>
                <w:szCs w:val="24"/>
                <w:lang w:val="en-US" w:eastAsia="zh-CN" w:bidi="ar"/>
              </w:rPr>
              <w:t>南昆山云顶温泉疗休养3天2晚</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350168C">
            <w:pPr>
              <w:widowControl/>
              <w:jc w:val="left"/>
              <w:textAlignment w:val="center"/>
              <w:rPr>
                <w:rFonts w:ascii="宋体" w:hAnsi="宋体" w:eastAsia="宋体" w:cs="宋体"/>
                <w:color w:val="000000"/>
                <w:kern w:val="0"/>
                <w:sz w:val="24"/>
                <w:szCs w:val="24"/>
                <w:lang w:bidi="ar"/>
              </w:rPr>
            </w:pPr>
          </w:p>
        </w:tc>
        <w:tc>
          <w:tcPr>
            <w:tcW w:w="2155" w:type="dxa"/>
            <w:tcBorders>
              <w:top w:val="single" w:color="000000" w:sz="4" w:space="0"/>
              <w:left w:val="single" w:color="auto" w:sz="4" w:space="0"/>
              <w:bottom w:val="single" w:color="000000" w:sz="4" w:space="0"/>
              <w:right w:val="single" w:color="000000" w:sz="4" w:space="0"/>
            </w:tcBorders>
            <w:shd w:val="clear" w:color="auto" w:fill="auto"/>
            <w:vAlign w:val="center"/>
          </w:tcPr>
          <w:p w14:paraId="0431AFF0">
            <w:pPr>
              <w:jc w:val="center"/>
              <w:rPr>
                <w:rFonts w:ascii="宋体" w:hAnsi="宋体" w:eastAsia="宋体" w:cs="宋体"/>
                <w:b/>
                <w:bCs/>
                <w:color w:val="FF0000"/>
                <w:sz w:val="24"/>
                <w:szCs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8098">
            <w:pPr>
              <w:jc w:val="center"/>
              <w:rPr>
                <w:rFonts w:ascii="宋体" w:hAnsi="宋体" w:eastAsia="宋体" w:cs="宋体"/>
                <w:b/>
                <w:bCs/>
                <w:color w:val="FF0000"/>
                <w:sz w:val="24"/>
                <w:szCs w:val="24"/>
              </w:rPr>
            </w:pPr>
          </w:p>
        </w:tc>
      </w:tr>
    </w:tbl>
    <w:p w14:paraId="31B1C94A">
      <w:pPr>
        <w:numPr>
          <w:ilvl w:val="0"/>
          <w:numId w:val="0"/>
        </w:numPr>
        <w:spacing w:line="360" w:lineRule="auto"/>
        <w:jc w:val="left"/>
        <w:rPr>
          <w:rFonts w:asciiTheme="minorEastAsia" w:hAnsiTheme="minorEastAsia"/>
          <w:sz w:val="24"/>
        </w:rPr>
      </w:pPr>
    </w:p>
    <w:p w14:paraId="20C47E87">
      <w:pPr>
        <w:numPr>
          <w:ilvl w:val="0"/>
          <w:numId w:val="1"/>
        </w:numPr>
        <w:spacing w:line="360" w:lineRule="auto"/>
        <w:jc w:val="left"/>
        <w:rPr>
          <w:rFonts w:asciiTheme="minorEastAsia" w:hAnsiTheme="minorEastAsia"/>
          <w:sz w:val="24"/>
        </w:rPr>
      </w:pPr>
      <w:r>
        <w:rPr>
          <w:rFonts w:hint="eastAsia" w:cs="宋体" w:asciiTheme="minorEastAsia" w:hAnsiTheme="minorEastAsia"/>
          <w:kern w:val="0"/>
          <w:sz w:val="24"/>
          <w:szCs w:val="24"/>
          <w:shd w:val="clear" w:color="auto" w:fill="FFFFFF"/>
        </w:rPr>
        <w:t>报价费用需包含交通费、餐费、门票、导游、旅游意外伤害险、矿泉水、税金等费用。</w:t>
      </w:r>
    </w:p>
    <w:p w14:paraId="215FFDE2">
      <w:pPr>
        <w:spacing w:line="360" w:lineRule="auto"/>
        <w:jc w:val="left"/>
        <w:rPr>
          <w:rFonts w:cs="宋体" w:asciiTheme="minorEastAsia" w:hAnsiTheme="minorEastAsia"/>
          <w:kern w:val="0"/>
          <w:sz w:val="24"/>
          <w:szCs w:val="24"/>
          <w:shd w:val="clear" w:color="auto" w:fill="FFFFFF"/>
        </w:rPr>
      </w:pPr>
      <w:r>
        <w:rPr>
          <w:rFonts w:hint="eastAsia" w:cs="宋体" w:asciiTheme="minorEastAsia" w:hAnsiTheme="minorEastAsia"/>
          <w:kern w:val="0"/>
          <w:sz w:val="24"/>
          <w:szCs w:val="24"/>
          <w:shd w:val="clear" w:color="auto" w:fill="FFFFFF"/>
        </w:rPr>
        <w:t>4.1门票：须包含所有景点门票，</w:t>
      </w:r>
      <w:r>
        <w:rPr>
          <w:rFonts w:hint="eastAsia"/>
          <w:sz w:val="24"/>
        </w:rPr>
        <w:t>景点要求：各出游线路中不得含</w:t>
      </w:r>
      <w:r>
        <w:rPr>
          <w:rFonts w:hint="eastAsia" w:ascii="宋体" w:hAnsi="宋体" w:cs="宋体"/>
          <w:color w:val="000000" w:themeColor="text1"/>
          <w:sz w:val="24"/>
          <w14:textFill>
            <w14:solidFill>
              <w14:schemeClr w14:val="tx1"/>
            </w14:solidFill>
          </w14:textFill>
        </w:rPr>
        <w:t>有国家相关部门明令禁止的风景名胜区或未经开发的景点。</w:t>
      </w:r>
    </w:p>
    <w:p w14:paraId="37151339">
      <w:pPr>
        <w:widowControl/>
        <w:jc w:val="left"/>
        <w:rPr>
          <w:rFonts w:cs="宋体" w:asciiTheme="minorEastAsia" w:hAnsiTheme="minorEastAsia"/>
          <w:kern w:val="0"/>
          <w:sz w:val="24"/>
          <w:szCs w:val="24"/>
          <w:shd w:val="clear" w:color="auto" w:fill="FFFFFF"/>
        </w:rPr>
      </w:pPr>
      <w:r>
        <w:rPr>
          <w:rFonts w:hint="eastAsia" w:cs="宋体" w:asciiTheme="minorEastAsia" w:hAnsiTheme="minorEastAsia"/>
          <w:kern w:val="0"/>
          <w:sz w:val="24"/>
          <w:szCs w:val="24"/>
          <w:shd w:val="clear" w:color="auto" w:fill="FFFFFF"/>
        </w:rPr>
        <w:t>4.2餐饮要求：每人每天至少一瓶550ml以上矿泉水；提供午、晚餐，品种菜式为：八菜一汤（或以上），10人/桌；餐费标准严格参照《党政机关国内公务接待管理规定》；食物要求新鲜卫生，餐馆必须持证经营。</w:t>
      </w:r>
    </w:p>
    <w:p w14:paraId="53DE8F06">
      <w:pPr>
        <w:spacing w:line="360" w:lineRule="auto"/>
        <w:jc w:val="left"/>
        <w:rPr>
          <w:rFonts w:cs="宋体" w:asciiTheme="minorEastAsia" w:hAnsiTheme="minorEastAsia"/>
          <w:kern w:val="0"/>
          <w:sz w:val="24"/>
          <w:szCs w:val="24"/>
          <w:shd w:val="clear" w:color="auto" w:fill="FFFFFF"/>
        </w:rPr>
      </w:pPr>
      <w:r>
        <w:rPr>
          <w:rFonts w:hint="eastAsia" w:cs="宋体" w:asciiTheme="minorEastAsia" w:hAnsiTheme="minorEastAsia"/>
          <w:kern w:val="0"/>
          <w:sz w:val="24"/>
          <w:szCs w:val="24"/>
          <w:shd w:val="clear" w:color="auto" w:fill="FFFFFF"/>
        </w:rPr>
        <w:t>4.3保险：旅游意外伤害险不低于人民币38万元/人。</w:t>
      </w:r>
    </w:p>
    <w:p w14:paraId="78C60BF4">
      <w:pPr>
        <w:spacing w:line="360" w:lineRule="auto"/>
        <w:jc w:val="left"/>
        <w:rPr>
          <w:rFonts w:cs="宋体" w:asciiTheme="minorEastAsia" w:hAnsiTheme="minorEastAsia"/>
          <w:kern w:val="0"/>
          <w:sz w:val="24"/>
          <w:szCs w:val="24"/>
          <w:shd w:val="clear" w:color="auto" w:fill="FFFFFF"/>
        </w:rPr>
      </w:pPr>
      <w:r>
        <w:rPr>
          <w:rFonts w:hint="eastAsia" w:cs="宋体" w:asciiTheme="minorEastAsia" w:hAnsiTheme="minorEastAsia"/>
          <w:kern w:val="0"/>
          <w:sz w:val="24"/>
          <w:szCs w:val="24"/>
          <w:shd w:val="clear" w:color="auto" w:fill="FFFFFF"/>
        </w:rPr>
        <w:t>4.4购物：无强制性购物消费，每条线路不得包含购物点。</w:t>
      </w:r>
    </w:p>
    <w:p w14:paraId="3B9AC272">
      <w:pPr>
        <w:spacing w:line="360" w:lineRule="auto"/>
        <w:jc w:val="left"/>
        <w:rPr>
          <w:rFonts w:cs="宋体" w:asciiTheme="minorEastAsia" w:hAnsiTheme="minorEastAsia"/>
          <w:kern w:val="0"/>
          <w:sz w:val="24"/>
          <w:szCs w:val="24"/>
          <w:shd w:val="clear" w:color="auto" w:fill="FFFFFF"/>
        </w:rPr>
      </w:pPr>
      <w:r>
        <w:rPr>
          <w:rFonts w:hint="eastAsia" w:cs="宋体" w:asciiTheme="minorEastAsia" w:hAnsiTheme="minorEastAsia"/>
          <w:kern w:val="0"/>
          <w:sz w:val="24"/>
          <w:szCs w:val="24"/>
          <w:shd w:val="clear" w:color="auto" w:fill="FFFFFF"/>
        </w:rPr>
        <w:t>4.5酒店：须为四星级或以上级别酒店。所有入住酒店均须包含早餐及提供叫早服务。标双房，可不提供单间，如有产生单房差或加床费用由职工自理。</w:t>
      </w:r>
    </w:p>
    <w:p w14:paraId="6937E855">
      <w:pPr>
        <w:spacing w:line="360" w:lineRule="auto"/>
        <w:jc w:val="left"/>
        <w:rPr>
          <w:rFonts w:cs="宋体" w:asciiTheme="minorEastAsia" w:hAnsiTheme="minorEastAsia"/>
          <w:kern w:val="0"/>
          <w:sz w:val="24"/>
          <w:szCs w:val="24"/>
          <w:shd w:val="clear" w:color="auto" w:fill="FFFFFF"/>
        </w:rPr>
      </w:pPr>
      <w:r>
        <w:rPr>
          <w:rFonts w:hint="eastAsia" w:cs="宋体" w:asciiTheme="minorEastAsia" w:hAnsiTheme="minorEastAsia"/>
          <w:kern w:val="0"/>
          <w:sz w:val="24"/>
          <w:szCs w:val="24"/>
          <w:shd w:val="clear" w:color="auto" w:fill="FFFFFF"/>
        </w:rPr>
        <w:t>4.6交通：所到目的地如非当地机场或地理形势限制，须统一安排直飞，不得安排“红眼航班”及转飞。机票含：往返机票(经济舱)、机场建设费、燃油附加税。</w:t>
      </w:r>
    </w:p>
    <w:p w14:paraId="55704158">
      <w:pPr>
        <w:spacing w:line="360" w:lineRule="auto"/>
        <w:jc w:val="left"/>
        <w:rPr>
          <w:rFonts w:cs="宋体" w:asciiTheme="minorEastAsia" w:hAnsiTheme="minorEastAsia"/>
          <w:kern w:val="0"/>
          <w:sz w:val="24"/>
          <w:szCs w:val="24"/>
          <w:shd w:val="clear" w:color="auto" w:fill="FFFFFF"/>
        </w:rPr>
      </w:pPr>
      <w:r>
        <w:rPr>
          <w:rFonts w:hint="eastAsia" w:cs="宋体" w:asciiTheme="minorEastAsia" w:hAnsiTheme="minorEastAsia"/>
          <w:kern w:val="0"/>
          <w:sz w:val="24"/>
          <w:szCs w:val="24"/>
          <w:shd w:val="clear" w:color="auto" w:fill="FFFFFF"/>
        </w:rPr>
        <w:t>4.7用车：按实际人数安排车辆，（保证一人一正座），须保证车内洁净、通风良好、座椅无损坏。</w:t>
      </w:r>
    </w:p>
    <w:p w14:paraId="2AC582AE">
      <w:pPr>
        <w:spacing w:line="360" w:lineRule="auto"/>
        <w:jc w:val="left"/>
        <w:rPr>
          <w:rFonts w:cs="宋体" w:asciiTheme="minorEastAsia" w:hAnsiTheme="minorEastAsia"/>
          <w:kern w:val="0"/>
          <w:sz w:val="24"/>
          <w:szCs w:val="24"/>
          <w:shd w:val="clear" w:color="auto" w:fill="FFFFFF"/>
        </w:rPr>
      </w:pPr>
      <w:r>
        <w:rPr>
          <w:rFonts w:hint="eastAsia" w:cs="宋体" w:asciiTheme="minorEastAsia" w:hAnsiTheme="minorEastAsia"/>
          <w:kern w:val="0"/>
          <w:sz w:val="24"/>
          <w:szCs w:val="24"/>
          <w:shd w:val="clear" w:color="auto" w:fill="FFFFFF"/>
        </w:rPr>
        <w:t>4.8天数：每条线路出行天数不得少于3天，配备基本常用药品及防疫用品。</w:t>
      </w:r>
    </w:p>
    <w:p w14:paraId="1F406B8B">
      <w:pPr>
        <w:spacing w:line="360" w:lineRule="auto"/>
        <w:jc w:val="left"/>
        <w:rPr>
          <w:rFonts w:cs="宋体" w:asciiTheme="minorEastAsia" w:hAnsiTheme="minorEastAsia"/>
          <w:kern w:val="0"/>
          <w:sz w:val="24"/>
          <w:szCs w:val="24"/>
          <w:shd w:val="clear" w:color="auto" w:fill="FFFFFF"/>
        </w:rPr>
      </w:pPr>
      <w:r>
        <w:rPr>
          <w:rFonts w:hint="eastAsia" w:cs="宋体" w:asciiTheme="minorEastAsia" w:hAnsiTheme="minorEastAsia"/>
          <w:kern w:val="0"/>
          <w:sz w:val="24"/>
          <w:szCs w:val="24"/>
          <w:shd w:val="clear" w:color="auto" w:fill="FFFFFF"/>
        </w:rPr>
        <w:t>4.9景点安排：</w:t>
      </w:r>
      <w:r>
        <w:rPr>
          <w:rFonts w:hint="eastAsia" w:cs="宋体" w:asciiTheme="minorEastAsia" w:hAnsiTheme="minorEastAsia"/>
          <w:kern w:val="0"/>
          <w:sz w:val="24"/>
          <w:szCs w:val="24"/>
          <w:shd w:val="clear" w:color="auto" w:fill="FFFFFF"/>
          <w:lang w:val="en-US" w:eastAsia="zh-CN"/>
        </w:rPr>
        <w:t>省外</w:t>
      </w:r>
      <w:r>
        <w:rPr>
          <w:rFonts w:hint="eastAsia" w:cs="宋体" w:asciiTheme="minorEastAsia" w:hAnsiTheme="minorEastAsia"/>
          <w:kern w:val="0"/>
          <w:sz w:val="24"/>
          <w:szCs w:val="24"/>
          <w:shd w:val="clear" w:color="auto" w:fill="FFFFFF"/>
        </w:rPr>
        <w:t>每条线路不得少于1个5A景区，导游可推荐自费项目，由职工本着自愿的原则自由选择，不得强迫消费。每天景点安排中的免费景点（如购物街、商业街、城市公园等非景区景点）不得超过2个。各大景点游览时间可根据当地实际情况作相应调整。如遇国家政策调整或重大节庆活动，造成自然、公路建设等不可抗力影响，须保证在不减少景点数量的情况下,在征得所有旅客同意后，可根据具体实际情况将景点及住宿顺序和价格作相应调整。</w:t>
      </w:r>
    </w:p>
    <w:p w14:paraId="7D3A5638">
      <w:pPr>
        <w:spacing w:line="360" w:lineRule="auto"/>
        <w:jc w:val="left"/>
        <w:rPr>
          <w:rFonts w:cs="宋体" w:asciiTheme="minorEastAsia" w:hAnsiTheme="minorEastAsia"/>
          <w:kern w:val="0"/>
          <w:sz w:val="24"/>
          <w:szCs w:val="24"/>
          <w:shd w:val="clear" w:color="auto" w:fill="FFFFFF"/>
        </w:rPr>
      </w:pPr>
      <w:r>
        <w:rPr>
          <w:rFonts w:hint="eastAsia" w:cs="宋体" w:asciiTheme="minorEastAsia" w:hAnsiTheme="minorEastAsia"/>
          <w:kern w:val="0"/>
          <w:sz w:val="24"/>
          <w:szCs w:val="24"/>
          <w:shd w:val="clear" w:color="auto" w:fill="FFFFFF"/>
        </w:rPr>
        <w:t>5.导游：各不少于1名的广州送团导游(不随团)、当地地接导游、全陪导游。</w:t>
      </w:r>
    </w:p>
    <w:p w14:paraId="66E724F5">
      <w:pPr>
        <w:spacing w:line="360" w:lineRule="auto"/>
        <w:jc w:val="left"/>
        <w:rPr>
          <w:rFonts w:cs="宋体" w:asciiTheme="minorEastAsia" w:hAnsiTheme="minorEastAsia"/>
          <w:kern w:val="0"/>
          <w:sz w:val="24"/>
          <w:szCs w:val="24"/>
          <w:shd w:val="clear" w:color="auto" w:fill="FFFFFF"/>
        </w:rPr>
      </w:pPr>
      <w:r>
        <w:rPr>
          <w:rFonts w:hint="eastAsia" w:cs="宋体" w:asciiTheme="minorEastAsia" w:hAnsiTheme="minorEastAsia"/>
          <w:kern w:val="0"/>
          <w:sz w:val="24"/>
          <w:szCs w:val="24"/>
          <w:shd w:val="clear" w:color="auto" w:fill="FFFFFF"/>
        </w:rPr>
        <w:t>6. 出团时间：从签订合同时间开始，活动天数视具体出游线路及方案决定。</w:t>
      </w:r>
    </w:p>
    <w:p w14:paraId="3B832734">
      <w:pPr>
        <w:spacing w:line="360" w:lineRule="auto"/>
        <w:jc w:val="left"/>
        <w:rPr>
          <w:rFonts w:ascii="宋体" w:hAnsi="宋体"/>
          <w:sz w:val="24"/>
        </w:rPr>
      </w:pPr>
      <w:r>
        <w:rPr>
          <w:rFonts w:hint="eastAsia" w:cs="宋体" w:asciiTheme="minorEastAsia" w:hAnsiTheme="minorEastAsia"/>
          <w:kern w:val="0"/>
          <w:sz w:val="24"/>
          <w:szCs w:val="24"/>
          <w:shd w:val="clear" w:color="auto" w:fill="FFFFFF"/>
        </w:rPr>
        <w:t>7. 出发地点：越秀院区或黄埔院区采购人指定地点。</w:t>
      </w:r>
    </w:p>
    <w:p w14:paraId="35EAC2DE">
      <w:pPr>
        <w:spacing w:line="360" w:lineRule="auto"/>
        <w:jc w:val="left"/>
        <w:rPr>
          <w:rFonts w:cs="宋体" w:asciiTheme="minorEastAsia" w:hAnsiTheme="minorEastAsia"/>
          <w:kern w:val="0"/>
          <w:sz w:val="24"/>
          <w:szCs w:val="24"/>
          <w:shd w:val="clear" w:color="auto" w:fill="FFFFFF"/>
        </w:rPr>
      </w:pPr>
      <w:r>
        <w:rPr>
          <w:rFonts w:hint="eastAsia" w:ascii="宋体" w:hAnsi="宋体"/>
          <w:sz w:val="24"/>
        </w:rPr>
        <w:t>8. 由于采购人工作安</w:t>
      </w:r>
      <w:r>
        <w:rPr>
          <w:rFonts w:hint="eastAsia" w:cs="宋体" w:asciiTheme="minorEastAsia" w:hAnsiTheme="minorEastAsia"/>
          <w:kern w:val="0"/>
          <w:sz w:val="24"/>
          <w:szCs w:val="24"/>
          <w:shd w:val="clear" w:color="auto" w:fill="FFFFFF"/>
        </w:rPr>
        <w:t>排等不确定因素，出游人数约1</w:t>
      </w:r>
      <w:r>
        <w:rPr>
          <w:rFonts w:hint="eastAsia" w:cs="宋体" w:asciiTheme="minorEastAsia" w:hAnsiTheme="minorEastAsia"/>
          <w:kern w:val="0"/>
          <w:sz w:val="24"/>
          <w:szCs w:val="24"/>
          <w:shd w:val="clear" w:color="auto" w:fill="FFFFFF"/>
          <w:lang w:val="en-US" w:eastAsia="zh-CN"/>
        </w:rPr>
        <w:t>9</w:t>
      </w:r>
      <w:r>
        <w:rPr>
          <w:rFonts w:hint="eastAsia" w:cs="宋体" w:asciiTheme="minorEastAsia" w:hAnsiTheme="minorEastAsia"/>
          <w:kern w:val="0"/>
          <w:sz w:val="24"/>
          <w:szCs w:val="24"/>
          <w:shd w:val="clear" w:color="auto" w:fill="FFFFFF"/>
        </w:rPr>
        <w:t>0人，结算以实际出游人数为准。</w:t>
      </w:r>
      <w:r>
        <w:rPr>
          <w:rFonts w:hint="eastAsia" w:cs="宋体" w:asciiTheme="minorEastAsia" w:hAnsiTheme="minorEastAsia"/>
          <w:kern w:val="0"/>
          <w:sz w:val="24"/>
          <w:szCs w:val="24"/>
          <w:shd w:val="clear" w:color="auto" w:fill="FFFFFF"/>
          <w:lang w:val="en-US" w:eastAsia="zh-CN"/>
        </w:rPr>
        <w:t>职工家属及随行人员费用自理。须签订《安全责任书》并购买保险。疗休养期间全体人员（含家属）务必实名签到，存档备查。</w:t>
      </w:r>
      <w:r>
        <w:rPr>
          <w:rFonts w:hint="eastAsia" w:cs="宋体" w:asciiTheme="minorEastAsia" w:hAnsiTheme="minorEastAsia"/>
          <w:kern w:val="0"/>
          <w:sz w:val="24"/>
          <w:szCs w:val="24"/>
          <w:shd w:val="clear" w:color="auto" w:fill="FFFFFF"/>
        </w:rPr>
        <w:t>供应商应根据疗休养员工的需求，如遇个性化定制路线，可定制化线路、餐饮、住宿等要求，由此产生的差额费用由疗休养员工承担，供应商提出合理的建议行程和报价并作出调整、完善和落实。</w:t>
      </w:r>
    </w:p>
    <w:p w14:paraId="031C16F9">
      <w:pPr>
        <w:spacing w:line="360" w:lineRule="auto"/>
        <w:jc w:val="left"/>
        <w:rPr>
          <w:rFonts w:cs="宋体" w:asciiTheme="minorEastAsia" w:hAnsiTheme="minorEastAsia"/>
          <w:kern w:val="0"/>
          <w:sz w:val="24"/>
          <w:szCs w:val="24"/>
          <w:shd w:val="clear" w:color="auto" w:fill="FFFFFF"/>
        </w:rPr>
      </w:pPr>
      <w:r>
        <w:rPr>
          <w:rFonts w:hint="eastAsia" w:cs="宋体" w:asciiTheme="minorEastAsia" w:hAnsiTheme="minorEastAsia"/>
          <w:kern w:val="0"/>
          <w:sz w:val="24"/>
          <w:szCs w:val="24"/>
          <w:shd w:val="clear" w:color="auto" w:fill="FFFFFF"/>
        </w:rPr>
        <w:t xml:space="preserve">9. </w:t>
      </w:r>
      <w:r>
        <w:rPr>
          <w:rFonts w:cs="宋体" w:asciiTheme="minorEastAsia" w:hAnsiTheme="minorEastAsia"/>
          <w:kern w:val="0"/>
          <w:sz w:val="24"/>
          <w:szCs w:val="24"/>
          <w:shd w:val="clear" w:color="auto" w:fill="FFFFFF"/>
        </w:rPr>
        <w:t>本项目发票只能开普通发票，请提前确认发票事宜</w:t>
      </w:r>
      <w:r>
        <w:rPr>
          <w:rFonts w:hint="eastAsia" w:cs="宋体" w:asciiTheme="minorEastAsia" w:hAnsiTheme="minorEastAsia"/>
          <w:kern w:val="0"/>
          <w:sz w:val="24"/>
          <w:szCs w:val="24"/>
          <w:shd w:val="clear" w:color="auto" w:fill="FFFFFF"/>
        </w:rPr>
        <w:t>；</w:t>
      </w:r>
    </w:p>
    <w:p w14:paraId="70D78AEA">
      <w:pPr>
        <w:widowControl/>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shd w:val="clear" w:color="auto" w:fill="FFFFFF"/>
          <w14:textFill>
            <w14:solidFill>
              <w14:schemeClr w14:val="tx1"/>
            </w14:solidFill>
          </w14:textFill>
        </w:rPr>
        <w:t>三、资格要求</w:t>
      </w:r>
    </w:p>
    <w:p w14:paraId="15147228">
      <w:pPr>
        <w:widowControl/>
        <w:spacing w:line="360" w:lineRule="auto"/>
        <w:jc w:val="left"/>
        <w:rPr>
          <w:rFonts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（1）供应商必须是具有独立承担民事责任能力的在中华人民共和国境内注册的法人或其他组织，</w:t>
      </w:r>
      <w:r>
        <w:rPr>
          <w:rFonts w:hint="eastAsia" w:cs="宋体" w:asciiTheme="minorEastAsia" w:hAnsiTheme="minorEastAsia"/>
          <w:color w:val="000000" w:themeColor="text1"/>
          <w:kern w:val="0"/>
          <w:sz w:val="24"/>
          <w:szCs w:val="24"/>
          <w:shd w:val="clear" w:color="auto" w:fill="FFFFFF"/>
          <w:lang w:val="en-US" w:eastAsia="zh-CN"/>
          <w14:textFill>
            <w14:solidFill>
              <w14:schemeClr w14:val="tx1"/>
            </w14:solidFill>
          </w14:textFill>
        </w:rPr>
        <w:t>调研</w:t>
      </w: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时</w:t>
      </w:r>
      <w:r>
        <w:rPr>
          <w:rFonts w:hint="eastAsia" w:cs="宋体" w:asciiTheme="minorEastAsia" w:hAnsiTheme="minorEastAsia"/>
          <w:color w:val="000000" w:themeColor="text1"/>
          <w:kern w:val="0"/>
          <w:sz w:val="24"/>
          <w:szCs w:val="24"/>
          <w:shd w:val="clear" w:color="auto" w:fill="FFFFFF"/>
          <w:lang w:val="en-US" w:eastAsia="zh-CN"/>
          <w14:textFill>
            <w14:solidFill>
              <w14:schemeClr w14:val="tx1"/>
            </w14:solidFill>
          </w14:textFill>
        </w:rPr>
        <w:t>请</w:t>
      </w: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提交有效的营业执照（或事业法人登记证等相关证明）副本复印件；</w:t>
      </w:r>
    </w:p>
    <w:p w14:paraId="11D438B0">
      <w:pPr>
        <w:widowControl/>
        <w:spacing w:line="360" w:lineRule="auto"/>
        <w:jc w:val="left"/>
        <w:rPr>
          <w:rFonts w:hint="eastAsia"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w:t>
      </w:r>
      <w:r>
        <w:rPr>
          <w:rFonts w:cs="宋体" w:asciiTheme="minorEastAsia" w:hAnsiTheme="minorEastAsia"/>
          <w:color w:val="000000" w:themeColor="text1"/>
          <w:kern w:val="0"/>
          <w:sz w:val="24"/>
          <w:szCs w:val="24"/>
          <w:shd w:val="clear" w:color="auto" w:fill="FFFFFF"/>
          <w14:textFill>
            <w14:solidFill>
              <w14:schemeClr w14:val="tx1"/>
            </w14:solidFill>
          </w14:textFill>
        </w:rPr>
        <w:t>2</w:t>
      </w: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）供应商具有有效的《旅行社业务经营许可证》；</w:t>
      </w:r>
    </w:p>
    <w:p w14:paraId="1A928D84">
      <w:pPr>
        <w:widowControl/>
        <w:spacing w:line="360" w:lineRule="auto"/>
        <w:jc w:val="left"/>
        <w:rPr>
          <w:rFonts w:hint="default" w:cs="宋体" w:asciiTheme="minorEastAsia" w:hAnsiTheme="minorEastAsia" w:eastAsiaTheme="minorEastAsia"/>
          <w:color w:val="000000" w:themeColor="text1"/>
          <w:kern w:val="0"/>
          <w:sz w:val="24"/>
          <w:szCs w:val="24"/>
          <w:shd w:val="clear" w:color="auto" w:fill="FFFFFF"/>
          <w:lang w:val="en-US" w:eastAsia="zh-CN"/>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lang w:val="en-US" w:eastAsia="zh-CN"/>
          <w14:textFill>
            <w14:solidFill>
              <w14:schemeClr w14:val="tx1"/>
            </w14:solidFill>
          </w14:textFill>
        </w:rPr>
        <w:t>（3）请提供有效的法定代表人证明书或者授权委托书；</w:t>
      </w:r>
    </w:p>
    <w:p w14:paraId="4D9D1AE9">
      <w:pPr>
        <w:widowControl/>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w:t>
      </w:r>
      <w:r>
        <w:rPr>
          <w:rFonts w:hint="eastAsia" w:cs="宋体" w:asciiTheme="minorEastAsia" w:hAnsiTheme="minorEastAsia"/>
          <w:color w:val="000000" w:themeColor="text1"/>
          <w:kern w:val="0"/>
          <w:sz w:val="24"/>
          <w:szCs w:val="24"/>
          <w:shd w:val="clear" w:color="auto" w:fill="FFFFFF"/>
          <w:lang w:val="en-US" w:eastAsia="zh-CN"/>
          <w14:textFill>
            <w14:solidFill>
              <w14:schemeClr w14:val="tx1"/>
            </w14:solidFill>
          </w14:textFill>
        </w:rPr>
        <w:t>4</w:t>
      </w: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）本项目不接受联合体报价。</w:t>
      </w:r>
    </w:p>
    <w:p w14:paraId="4F561FC4">
      <w:pPr>
        <w:widowControl/>
        <w:spacing w:line="360" w:lineRule="auto"/>
        <w:jc w:val="left"/>
        <w:rPr>
          <w:rFonts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b/>
          <w:bCs/>
          <w:color w:val="000000" w:themeColor="text1"/>
          <w:kern w:val="0"/>
          <w:sz w:val="24"/>
          <w:szCs w:val="24"/>
          <w:shd w:val="clear" w:color="auto" w:fill="FFFFFF"/>
          <w14:textFill>
            <w14:solidFill>
              <w14:schemeClr w14:val="tx1"/>
            </w14:solidFill>
          </w14:textFill>
        </w:rPr>
        <w:t>四、报价文件的获取</w:t>
      </w: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（见附件，从网页链接下载）</w:t>
      </w:r>
    </w:p>
    <w:p w14:paraId="0077969A">
      <w:pPr>
        <w:widowControl/>
        <w:spacing w:line="360" w:lineRule="auto"/>
        <w:jc w:val="left"/>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五、注意事项：</w:t>
      </w:r>
    </w:p>
    <w:p w14:paraId="04C9BF9D">
      <w:pPr>
        <w:widowControl/>
        <w:spacing w:line="360" w:lineRule="auto"/>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1.本次调研仅作为采购人采购需求编制以及采购价格信息参考的依据，仅对项目有关需求方案及价格进行市场调研，参与本次调研并不代表获得相应业务资格。</w:t>
      </w:r>
    </w:p>
    <w:p w14:paraId="2989B8EE">
      <w:pPr>
        <w:widowControl/>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2.本次调研的项目需求为本项目的初步需求，采购人可依实际情况进行调整。</w:t>
      </w:r>
    </w:p>
    <w:p w14:paraId="0A69CB4A">
      <w:pPr>
        <w:widowControl/>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各供应商应按项目需求如实制作方案（如有，请在报价文件中载明）并进行报价，杜绝弄虚作假，胡乱报价。</w:t>
      </w:r>
    </w:p>
    <w:p w14:paraId="023941A1">
      <w:pPr>
        <w:widowControl/>
        <w:spacing w:line="360" w:lineRule="auto"/>
        <w:jc w:val="left"/>
        <w:rPr>
          <w:rFonts w:cs="宋体" w:asciiTheme="minorEastAsia" w:hAnsiTheme="minorEastAsia"/>
          <w:color w:val="FF0000"/>
          <w:kern w:val="0"/>
          <w:sz w:val="24"/>
          <w:szCs w:val="24"/>
        </w:rPr>
      </w:pPr>
      <w:r>
        <w:rPr>
          <w:rFonts w:cs="宋体" w:asciiTheme="minorEastAsia" w:hAnsiTheme="minorEastAsia"/>
          <w:color w:val="000000" w:themeColor="text1"/>
          <w:kern w:val="0"/>
          <w:sz w:val="24"/>
          <w:szCs w:val="24"/>
          <w14:textFill>
            <w14:solidFill>
              <w14:schemeClr w14:val="tx1"/>
            </w14:solidFill>
          </w14:textFill>
        </w:rPr>
        <w:t>4</w:t>
      </w:r>
      <w:r>
        <w:rPr>
          <w:rFonts w:hint="eastAsia" w:cs="宋体" w:asciiTheme="minorEastAsia" w:hAnsiTheme="minorEastAsia"/>
          <w:color w:val="000000" w:themeColor="text1"/>
          <w:kern w:val="0"/>
          <w:sz w:val="24"/>
          <w:szCs w:val="24"/>
          <w14:textFill>
            <w14:solidFill>
              <w14:schemeClr w14:val="tx1"/>
            </w14:solidFill>
          </w14:textFill>
        </w:rPr>
        <w:t>.本项目严禁各供应商进行恶意串通、恶意竞争或其它违规行为，一经查实，将上报采购人。</w:t>
      </w:r>
    </w:p>
    <w:p w14:paraId="21A6C465">
      <w:pPr>
        <w:widowControl/>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shd w:val="clear" w:color="auto" w:fill="FFFFFF"/>
          <w14:textFill>
            <w14:solidFill>
              <w14:schemeClr w14:val="tx1"/>
            </w14:solidFill>
          </w14:textFill>
        </w:rPr>
        <w:t>六、调研（报价）文件的递交</w:t>
      </w:r>
    </w:p>
    <w:p w14:paraId="71FA5FC6">
      <w:pPr>
        <w:widowControl/>
        <w:spacing w:line="360" w:lineRule="auto"/>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shd w:val="clear" w:color="auto" w:fill="FFFFFF"/>
        </w:rPr>
        <w:t>递交截止时间：20</w:t>
      </w:r>
      <w:r>
        <w:rPr>
          <w:rFonts w:hint="eastAsia" w:cs="宋体" w:asciiTheme="minorEastAsia" w:hAnsiTheme="minorEastAsia"/>
          <w:color w:val="FF0000"/>
          <w:kern w:val="0"/>
          <w:sz w:val="24"/>
          <w:szCs w:val="24"/>
          <w:shd w:val="clear" w:color="auto" w:fill="FFFFFF"/>
          <w:lang w:val="en-US" w:eastAsia="zh-CN"/>
        </w:rPr>
        <w:t>25年5</w:t>
      </w:r>
      <w:r>
        <w:rPr>
          <w:rFonts w:hint="eastAsia" w:cs="宋体" w:asciiTheme="minorEastAsia" w:hAnsiTheme="minorEastAsia"/>
          <w:color w:val="FF0000"/>
          <w:kern w:val="0"/>
          <w:sz w:val="24"/>
          <w:szCs w:val="24"/>
          <w:shd w:val="clear" w:color="auto" w:fill="FFFFFF"/>
        </w:rPr>
        <w:t>月</w:t>
      </w:r>
      <w:r>
        <w:rPr>
          <w:rFonts w:hint="eastAsia" w:cs="宋体" w:asciiTheme="minorEastAsia" w:hAnsiTheme="minorEastAsia"/>
          <w:color w:val="FF0000"/>
          <w:kern w:val="0"/>
          <w:sz w:val="24"/>
          <w:szCs w:val="24"/>
          <w:shd w:val="clear" w:color="auto" w:fill="FFFFFF"/>
          <w:lang w:val="en-US" w:eastAsia="zh-CN"/>
        </w:rPr>
        <w:t>29</w:t>
      </w:r>
      <w:r>
        <w:rPr>
          <w:rFonts w:hint="eastAsia" w:cs="宋体" w:asciiTheme="minorEastAsia" w:hAnsiTheme="minorEastAsia"/>
          <w:color w:val="FF0000"/>
          <w:kern w:val="0"/>
          <w:sz w:val="24"/>
          <w:szCs w:val="24"/>
          <w:shd w:val="clear" w:color="auto" w:fill="FFFFFF"/>
        </w:rPr>
        <w:t>日</w:t>
      </w:r>
      <w:r>
        <w:rPr>
          <w:rFonts w:hint="eastAsia" w:cs="宋体" w:asciiTheme="minorEastAsia" w:hAnsiTheme="minorEastAsia"/>
          <w:color w:val="FF0000"/>
          <w:kern w:val="0"/>
          <w:sz w:val="24"/>
          <w:szCs w:val="24"/>
          <w:shd w:val="clear" w:color="auto" w:fill="FFFFFF"/>
          <w:lang w:val="en-US" w:eastAsia="zh-CN"/>
        </w:rPr>
        <w:t>12</w:t>
      </w:r>
      <w:r>
        <w:rPr>
          <w:rFonts w:hint="eastAsia" w:cs="宋体" w:asciiTheme="minorEastAsia" w:hAnsiTheme="minorEastAsia"/>
          <w:color w:val="FF0000"/>
          <w:kern w:val="0"/>
          <w:sz w:val="24"/>
          <w:szCs w:val="24"/>
          <w:shd w:val="clear" w:color="auto" w:fill="FFFFFF"/>
        </w:rPr>
        <w:t>时00分</w:t>
      </w:r>
    </w:p>
    <w:p w14:paraId="6EC83DE4">
      <w:pPr>
        <w:widowControl/>
        <w:shd w:val="clear" w:color="auto" w:fill="FFFFFF"/>
        <w:spacing w:after="90"/>
        <w:jc w:val="left"/>
        <w:outlineLvl w:val="0"/>
        <w:rPr>
          <w:rFonts w:hint="eastAsia" w:cs="宋体" w:asciiTheme="minorEastAsia" w:hAnsiTheme="minorEastAsia" w:eastAsiaTheme="minorEastAsia"/>
          <w:color w:val="000000" w:themeColor="text1"/>
          <w:kern w:val="0"/>
          <w:sz w:val="24"/>
          <w:szCs w:val="24"/>
          <w:shd w:val="clear" w:color="auto" w:fill="FFFFFF"/>
          <w:lang w:eastAsia="zh-CN"/>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递交方式：</w:t>
      </w:r>
      <w:r>
        <w:rPr>
          <w:rFonts w:hint="eastAsia" w:ascii="宋体" w:hAnsi="宋体" w:cs="宋体"/>
          <w:color w:val="FF0000"/>
          <w:sz w:val="24"/>
          <w:lang w:val="en-US" w:eastAsia="zh-CN"/>
        </w:rPr>
        <w:t>邮件</w:t>
      </w:r>
    </w:p>
    <w:p w14:paraId="5853BFE9">
      <w:pPr>
        <w:widowControl/>
        <w:shd w:val="clear" w:color="auto" w:fill="FFFFFF"/>
        <w:spacing w:after="90"/>
        <w:jc w:val="left"/>
        <w:outlineLvl w:val="0"/>
        <w:rPr>
          <w:rFonts w:hint="eastAsia"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lang w:val="en-US" w:eastAsia="zh-CN"/>
          <w14:textFill>
            <w14:solidFill>
              <w14:schemeClr w14:val="tx1"/>
            </w14:solidFill>
          </w14:textFill>
        </w:rPr>
        <w:t>邮件命名按照：2025年放射疗休养服务</w:t>
      </w: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项目报价文件</w:t>
      </w:r>
      <w:r>
        <w:rPr>
          <w:rFonts w:hint="eastAsia" w:cs="宋体" w:asciiTheme="minorEastAsia" w:hAnsiTheme="minorEastAsia"/>
          <w:color w:val="000000" w:themeColor="text1"/>
          <w:kern w:val="0"/>
          <w:sz w:val="24"/>
          <w:szCs w:val="24"/>
          <w:shd w:val="clear" w:color="auto" w:fill="FFFFFF"/>
          <w:lang w:val="en-US" w:eastAsia="zh-CN"/>
          <w14:textFill>
            <w14:solidFill>
              <w14:schemeClr w14:val="tx1"/>
            </w14:solidFill>
          </w14:textFill>
        </w:rPr>
        <w:t>-**公司</w:t>
      </w: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w:t>
      </w:r>
    </w:p>
    <w:p w14:paraId="58E95E81">
      <w:pPr>
        <w:widowControl/>
        <w:numPr>
          <w:ilvl w:val="0"/>
          <w:numId w:val="0"/>
        </w:numPr>
        <w:spacing w:line="360" w:lineRule="auto"/>
        <w:jc w:val="left"/>
        <w:rPr>
          <w:rFonts w:hint="eastAsia" w:cs="宋体" w:asciiTheme="minorEastAsia" w:hAnsiTheme="minorEastAsia"/>
          <w:b/>
          <w:bCs/>
          <w:color w:val="FF0000"/>
          <w:kern w:val="0"/>
          <w:sz w:val="24"/>
          <w:szCs w:val="24"/>
          <w:shd w:val="clear" w:color="auto" w:fill="FFFFFF"/>
          <w:lang w:val="en-US" w:eastAsia="zh-CN"/>
        </w:rPr>
      </w:pPr>
      <w:r>
        <w:rPr>
          <w:rFonts w:hint="eastAsia" w:cs="宋体" w:asciiTheme="minorEastAsia" w:hAnsiTheme="minorEastAsia"/>
          <w:b/>
          <w:bCs/>
          <w:color w:val="FF0000"/>
          <w:kern w:val="0"/>
          <w:sz w:val="24"/>
          <w:szCs w:val="24"/>
          <w:shd w:val="clear" w:color="auto" w:fill="FFFFFF"/>
          <w:lang w:val="en-US" w:eastAsia="zh-CN"/>
        </w:rPr>
        <w:t>要求：</w:t>
      </w:r>
    </w:p>
    <w:p w14:paraId="651609EE">
      <w:pPr>
        <w:widowControl/>
        <w:numPr>
          <w:ilvl w:val="0"/>
          <w:numId w:val="2"/>
        </w:numPr>
        <w:spacing w:line="360" w:lineRule="auto"/>
        <w:jc w:val="left"/>
        <w:rPr>
          <w:rFonts w:hint="eastAsia" w:cs="宋体" w:asciiTheme="minorEastAsia" w:hAnsiTheme="minorEastAsia"/>
          <w:b/>
          <w:bCs/>
          <w:color w:val="FF0000"/>
          <w:kern w:val="0"/>
          <w:sz w:val="24"/>
          <w:szCs w:val="24"/>
          <w:shd w:val="clear" w:color="auto" w:fill="FFFFFF"/>
          <w:lang w:val="en-US" w:eastAsia="zh-CN"/>
        </w:rPr>
      </w:pPr>
      <w:r>
        <w:rPr>
          <w:rFonts w:hint="eastAsia" w:cs="宋体" w:asciiTheme="minorEastAsia" w:hAnsiTheme="minorEastAsia"/>
          <w:b/>
          <w:bCs/>
          <w:color w:val="FF0000"/>
          <w:kern w:val="0"/>
          <w:sz w:val="24"/>
          <w:szCs w:val="24"/>
          <w:shd w:val="clear" w:color="auto" w:fill="FFFFFF"/>
          <w:lang w:val="en-US" w:eastAsia="zh-CN"/>
        </w:rPr>
        <w:t>提供有效期内加盖公章的营业执照副本复印件及法定代表人证明书或者委托授权书；</w:t>
      </w:r>
    </w:p>
    <w:p w14:paraId="04061D10">
      <w:pPr>
        <w:widowControl/>
        <w:numPr>
          <w:ilvl w:val="0"/>
          <w:numId w:val="2"/>
        </w:numPr>
        <w:spacing w:line="360" w:lineRule="auto"/>
        <w:jc w:val="left"/>
        <w:rPr>
          <w:rFonts w:hint="eastAsia" w:cs="宋体" w:asciiTheme="minorEastAsia" w:hAnsiTheme="minorEastAsia"/>
          <w:b/>
          <w:bCs/>
          <w:color w:val="FF0000"/>
          <w:kern w:val="0"/>
          <w:sz w:val="24"/>
          <w:szCs w:val="24"/>
          <w:shd w:val="clear" w:color="auto" w:fill="FFFFFF"/>
          <w:lang w:val="en-US" w:eastAsia="zh-CN"/>
        </w:rPr>
      </w:pPr>
      <w:r>
        <w:rPr>
          <w:rFonts w:hint="eastAsia" w:cs="宋体" w:asciiTheme="minorEastAsia" w:hAnsiTheme="minorEastAsia"/>
          <w:b/>
          <w:bCs/>
          <w:color w:val="FF0000"/>
          <w:kern w:val="0"/>
          <w:sz w:val="24"/>
          <w:szCs w:val="24"/>
          <w:shd w:val="clear" w:color="auto" w:fill="FFFFFF"/>
          <w:lang w:val="en-US" w:eastAsia="zh-CN"/>
        </w:rPr>
        <w:t>提供电子版盖章PDF和excel版报价文件表；</w:t>
      </w:r>
    </w:p>
    <w:p w14:paraId="2253DFC0">
      <w:pPr>
        <w:widowControl/>
        <w:numPr>
          <w:ilvl w:val="0"/>
          <w:numId w:val="2"/>
        </w:numPr>
        <w:spacing w:line="360" w:lineRule="auto"/>
        <w:jc w:val="left"/>
        <w:rPr>
          <w:rFonts w:hint="eastAsia" w:cs="宋体" w:asciiTheme="minorEastAsia" w:hAnsiTheme="minorEastAsia"/>
          <w:b/>
          <w:bCs/>
          <w:color w:val="FF0000"/>
          <w:kern w:val="0"/>
          <w:sz w:val="24"/>
          <w:szCs w:val="24"/>
          <w:shd w:val="clear" w:color="auto" w:fill="FFFFFF"/>
          <w:lang w:val="en-US" w:eastAsia="zh-CN"/>
        </w:rPr>
      </w:pPr>
      <w:r>
        <w:rPr>
          <w:rFonts w:hint="eastAsia" w:cs="宋体" w:asciiTheme="minorEastAsia" w:hAnsiTheme="minorEastAsia"/>
          <w:b/>
          <w:bCs/>
          <w:color w:val="FF0000"/>
          <w:kern w:val="0"/>
          <w:sz w:val="24"/>
          <w:szCs w:val="24"/>
          <w:shd w:val="clear" w:color="auto" w:fill="FFFFFF"/>
          <w:lang w:val="en-US" w:eastAsia="zh-CN"/>
        </w:rPr>
        <w:t>供应商认为针对本项目可以提供的其它资料；</w:t>
      </w:r>
    </w:p>
    <w:p w14:paraId="20AAAEF7">
      <w:pPr>
        <w:widowControl/>
        <w:numPr>
          <w:ilvl w:val="0"/>
          <w:numId w:val="2"/>
        </w:numPr>
        <w:spacing w:line="360" w:lineRule="auto"/>
        <w:jc w:val="left"/>
        <w:rPr>
          <w:rFonts w:hint="default" w:cs="宋体" w:asciiTheme="minorEastAsia" w:hAnsiTheme="minorEastAsia"/>
          <w:b/>
          <w:bCs/>
          <w:color w:val="FF0000"/>
          <w:kern w:val="0"/>
          <w:sz w:val="24"/>
          <w:szCs w:val="24"/>
          <w:shd w:val="clear" w:color="auto" w:fill="FFFFFF"/>
          <w:lang w:val="en-US" w:eastAsia="zh-CN"/>
        </w:rPr>
      </w:pPr>
      <w:r>
        <w:rPr>
          <w:rFonts w:hint="eastAsia" w:cs="宋体" w:asciiTheme="minorEastAsia" w:hAnsiTheme="minorEastAsia"/>
          <w:b/>
          <w:bCs/>
          <w:color w:val="FF0000"/>
          <w:kern w:val="0"/>
          <w:sz w:val="24"/>
          <w:szCs w:val="24"/>
          <w:shd w:val="clear" w:color="auto" w:fill="FFFFFF"/>
          <w:lang w:val="en-US" w:eastAsia="zh-CN"/>
        </w:rPr>
        <w:t>以上文件请发送至邮箱：</w:t>
      </w:r>
      <w:r>
        <w:rPr>
          <w:rFonts w:hint="eastAsia" w:cs="宋体" w:asciiTheme="minorEastAsia" w:hAnsiTheme="minorEastAsia"/>
          <w:b/>
          <w:bCs/>
          <w:color w:val="FF0000"/>
          <w:kern w:val="0"/>
          <w:sz w:val="24"/>
          <w:szCs w:val="24"/>
          <w:shd w:val="clear" w:color="auto" w:fill="FFFFFF"/>
          <w:lang w:val="en-US" w:eastAsia="zh-CN"/>
        </w:rPr>
        <w:fldChar w:fldCharType="begin"/>
      </w:r>
      <w:r>
        <w:rPr>
          <w:rFonts w:hint="eastAsia" w:cs="宋体" w:asciiTheme="minorEastAsia" w:hAnsiTheme="minorEastAsia"/>
          <w:b/>
          <w:bCs/>
          <w:color w:val="FF0000"/>
          <w:kern w:val="0"/>
          <w:sz w:val="24"/>
          <w:szCs w:val="24"/>
          <w:shd w:val="clear" w:color="auto" w:fill="FFFFFF"/>
          <w:lang w:val="en-US" w:eastAsia="zh-CN"/>
        </w:rPr>
        <w:instrText xml:space="preserve"> HYPERLINK "mailto:gonghui@sysucc.org.cn；" </w:instrText>
      </w:r>
      <w:r>
        <w:rPr>
          <w:rFonts w:hint="eastAsia" w:cs="宋体" w:asciiTheme="minorEastAsia" w:hAnsiTheme="minorEastAsia"/>
          <w:b/>
          <w:bCs/>
          <w:color w:val="FF0000"/>
          <w:kern w:val="0"/>
          <w:sz w:val="24"/>
          <w:szCs w:val="24"/>
          <w:shd w:val="clear" w:color="auto" w:fill="FFFFFF"/>
          <w:lang w:val="en-US" w:eastAsia="zh-CN"/>
        </w:rPr>
        <w:fldChar w:fldCharType="separate"/>
      </w:r>
      <w:r>
        <w:rPr>
          <w:rFonts w:hint="eastAsia" w:cs="宋体" w:asciiTheme="minorEastAsia" w:hAnsiTheme="minorEastAsia"/>
          <w:b/>
          <w:bCs/>
          <w:color w:val="FF0000"/>
          <w:kern w:val="0"/>
          <w:sz w:val="24"/>
          <w:szCs w:val="24"/>
          <w:shd w:val="clear" w:color="auto" w:fill="FFFFFF"/>
          <w:lang w:val="en-US" w:eastAsia="zh-CN"/>
        </w:rPr>
        <w:t>gonghui@sysucc.org.cn</w:t>
      </w:r>
      <w:r>
        <w:rPr>
          <w:rFonts w:hint="eastAsia" w:cs="宋体" w:asciiTheme="minorEastAsia" w:hAnsiTheme="minorEastAsia"/>
          <w:b/>
          <w:bCs/>
          <w:color w:val="FF0000"/>
          <w:kern w:val="0"/>
          <w:sz w:val="24"/>
          <w:szCs w:val="24"/>
          <w:shd w:val="clear" w:color="auto" w:fill="FFFFFF"/>
          <w:lang w:val="en-US" w:eastAsia="zh-CN"/>
        </w:rPr>
        <w:fldChar w:fldCharType="end"/>
      </w:r>
      <w:r>
        <w:rPr>
          <w:rFonts w:hint="eastAsia" w:cs="宋体" w:asciiTheme="minorEastAsia" w:hAnsiTheme="minorEastAsia"/>
          <w:b/>
          <w:bCs/>
          <w:color w:val="FF0000"/>
          <w:kern w:val="0"/>
          <w:sz w:val="24"/>
          <w:szCs w:val="24"/>
          <w:shd w:val="clear" w:color="auto" w:fill="FFFFFF"/>
          <w:lang w:val="en-US" w:eastAsia="zh-CN"/>
        </w:rPr>
        <w:t>。</w:t>
      </w:r>
    </w:p>
    <w:p w14:paraId="67F0547B">
      <w:pPr>
        <w:widowControl/>
        <w:spacing w:line="360" w:lineRule="auto"/>
        <w:jc w:val="left"/>
        <w:rPr>
          <w:rFonts w:cs="宋体" w:asciiTheme="minorEastAsia" w:hAnsiTheme="minorEastAsia"/>
          <w:b/>
          <w:color w:val="000000" w:themeColor="text1"/>
          <w:kern w:val="0"/>
          <w:sz w:val="24"/>
          <w:szCs w:val="24"/>
          <w14:textFill>
            <w14:solidFill>
              <w14:schemeClr w14:val="tx1"/>
            </w14:solidFill>
          </w14:textFill>
        </w:rPr>
      </w:pPr>
      <w:r>
        <w:rPr>
          <w:rFonts w:cs="宋体" w:asciiTheme="minorEastAsia" w:hAnsiTheme="minorEastAsia"/>
          <w:b/>
          <w:color w:val="000000" w:themeColor="text1"/>
          <w:kern w:val="0"/>
          <w:sz w:val="24"/>
          <w:szCs w:val="24"/>
          <w14:textFill>
            <w14:solidFill>
              <w14:schemeClr w14:val="tx1"/>
            </w14:solidFill>
          </w14:textFill>
        </w:rPr>
        <w:t>七</w:t>
      </w:r>
      <w:r>
        <w:rPr>
          <w:rFonts w:hint="eastAsia" w:cs="宋体" w:asciiTheme="minorEastAsia" w:hAnsiTheme="minorEastAsia"/>
          <w:b/>
          <w:bCs/>
          <w:color w:val="000000" w:themeColor="text1"/>
          <w:kern w:val="0"/>
          <w:sz w:val="24"/>
          <w:szCs w:val="24"/>
          <w:shd w:val="clear" w:color="auto" w:fill="FFFFFF"/>
          <w14:textFill>
            <w14:solidFill>
              <w14:schemeClr w14:val="tx1"/>
            </w14:solidFill>
          </w14:textFill>
        </w:rPr>
        <w:t>、联系方式</w:t>
      </w:r>
    </w:p>
    <w:p w14:paraId="0680A6FE">
      <w:pPr>
        <w:widowControl/>
        <w:shd w:val="clear" w:color="auto" w:fill="FFFFFF"/>
        <w:spacing w:line="360" w:lineRule="auto"/>
        <w:outlineLvl w:val="0"/>
        <w:rPr>
          <w:rFonts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采购人：中国教育工会中山大学肿瘤医院委员会</w:t>
      </w:r>
    </w:p>
    <w:p w14:paraId="79A540C2">
      <w:pPr>
        <w:widowControl/>
        <w:shd w:val="clear" w:color="auto" w:fill="FFFFFF"/>
        <w:spacing w:line="360" w:lineRule="auto"/>
        <w:outlineLvl w:val="0"/>
        <w:rPr>
          <w:rFonts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地址：广州市越秀区先烈南路19号大院工会办公室</w:t>
      </w:r>
    </w:p>
    <w:p w14:paraId="7ABE4BAE">
      <w:pPr>
        <w:widowControl/>
        <w:shd w:val="clear" w:color="auto" w:fill="FFFFFF"/>
        <w:spacing w:line="360" w:lineRule="auto"/>
        <w:outlineLvl w:val="0"/>
        <w:rPr>
          <w:rFonts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联系人：纪老师</w:t>
      </w:r>
    </w:p>
    <w:p w14:paraId="58DD00D8">
      <w:pPr>
        <w:widowControl/>
        <w:shd w:val="clear" w:color="auto" w:fill="FFFFFF"/>
        <w:spacing w:line="360" w:lineRule="auto"/>
        <w:outlineLvl w:val="0"/>
        <w:rPr>
          <w:rFonts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电话：020-87343838</w:t>
      </w:r>
    </w:p>
    <w:p w14:paraId="222815E7">
      <w:pPr>
        <w:widowControl/>
        <w:shd w:val="clear" w:color="auto" w:fill="FFFFFF"/>
        <w:spacing w:after="90"/>
        <w:outlineLvl w:val="0"/>
        <w:rPr>
          <w:rFonts w:cs="宋体" w:asciiTheme="minorEastAsia" w:hAnsiTheme="minorEastAsia"/>
          <w:color w:val="000000" w:themeColor="text1"/>
          <w:kern w:val="0"/>
          <w:sz w:val="24"/>
          <w:szCs w:val="24"/>
          <w:shd w:val="clear" w:color="auto" w:fill="FFFFFF"/>
          <w14:textFill>
            <w14:solidFill>
              <w14:schemeClr w14:val="tx1"/>
            </w14:solidFill>
          </w14:textFill>
        </w:rPr>
      </w:pPr>
    </w:p>
    <w:p w14:paraId="36C150B7">
      <w:pPr>
        <w:widowControl/>
        <w:shd w:val="clear" w:color="auto" w:fill="FFFFFF"/>
        <w:spacing w:after="90"/>
        <w:ind w:firstLine="2640" w:firstLineChars="1100"/>
        <w:jc w:val="both"/>
        <w:outlineLvl w:val="0"/>
        <w:rPr>
          <w:rFonts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中国教育工会中山大学肿瘤医院委员会</w:t>
      </w:r>
    </w:p>
    <w:p w14:paraId="6BFB6F3E">
      <w:pPr>
        <w:widowControl/>
        <w:spacing w:line="360" w:lineRule="auto"/>
        <w:jc w:val="center"/>
        <w:rPr>
          <w:rFonts w:hint="eastAsia" w:cs="宋体" w:asciiTheme="minorEastAsia" w:hAnsiTheme="minorEastAsia"/>
          <w:color w:val="000000" w:themeColor="text1"/>
          <w:kern w:val="0"/>
          <w:sz w:val="24"/>
          <w:szCs w:val="24"/>
          <w:shd w:val="clear" w:color="auto" w:fill="FFFFFF"/>
          <w14:textFill>
            <w14:solidFill>
              <w14:schemeClr w14:val="tx1"/>
            </w14:solidFill>
          </w14:textFill>
        </w:rPr>
      </w:pPr>
      <w:r>
        <w:rPr>
          <w:rFonts w:cs="宋体" w:asciiTheme="minorEastAsia" w:hAnsiTheme="minorEastAsia"/>
          <w:color w:val="000000" w:themeColor="text1"/>
          <w:kern w:val="0"/>
          <w:sz w:val="24"/>
          <w:szCs w:val="24"/>
          <w:shd w:val="clear" w:color="auto" w:fill="FFFFFF"/>
          <w14:textFill>
            <w14:solidFill>
              <w14:schemeClr w14:val="tx1"/>
            </w14:solidFill>
          </w14:textFill>
        </w:rPr>
        <w:t>2</w:t>
      </w: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02</w:t>
      </w:r>
      <w:r>
        <w:rPr>
          <w:rFonts w:hint="eastAsia" w:cs="宋体" w:asciiTheme="minorEastAsia" w:hAnsiTheme="minorEastAsia"/>
          <w:color w:val="000000" w:themeColor="text1"/>
          <w:kern w:val="0"/>
          <w:sz w:val="24"/>
          <w:szCs w:val="24"/>
          <w:shd w:val="clear" w:color="auto" w:fill="FFFFFF"/>
          <w:lang w:val="en-US" w:eastAsia="zh-CN"/>
          <w14:textFill>
            <w14:solidFill>
              <w14:schemeClr w14:val="tx1"/>
            </w14:solidFill>
          </w14:textFill>
        </w:rPr>
        <w:t>5</w:t>
      </w: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年</w:t>
      </w:r>
      <w:r>
        <w:rPr>
          <w:rFonts w:hint="eastAsia" w:cs="宋体" w:asciiTheme="minorEastAsia" w:hAnsiTheme="minorEastAsia"/>
          <w:color w:val="000000" w:themeColor="text1"/>
          <w:kern w:val="0"/>
          <w:sz w:val="24"/>
          <w:szCs w:val="24"/>
          <w:shd w:val="clear" w:color="auto" w:fill="FFFFFF"/>
          <w:lang w:val="en-US" w:eastAsia="zh-CN"/>
          <w14:textFill>
            <w14:solidFill>
              <w14:schemeClr w14:val="tx1"/>
            </w14:solidFill>
          </w14:textFill>
        </w:rPr>
        <w:t>5</w:t>
      </w: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月</w:t>
      </w:r>
      <w:r>
        <w:rPr>
          <w:rFonts w:hint="eastAsia" w:cs="宋体" w:asciiTheme="minorEastAsia" w:hAnsiTheme="minorEastAsia"/>
          <w:color w:val="000000" w:themeColor="text1"/>
          <w:kern w:val="0"/>
          <w:sz w:val="24"/>
          <w:szCs w:val="24"/>
          <w:shd w:val="clear" w:color="auto" w:fill="FFFFFF"/>
          <w:lang w:val="en-US" w:eastAsia="zh-CN"/>
          <w14:textFill>
            <w14:solidFill>
              <w14:schemeClr w14:val="tx1"/>
            </w14:solidFill>
          </w14:textFill>
        </w:rPr>
        <w:t>22</w:t>
      </w: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日</w:t>
      </w:r>
    </w:p>
    <w:p w14:paraId="1425BCE6">
      <w:pPr>
        <w:pStyle w:val="2"/>
        <w:rPr>
          <w:rFonts w:hint="eastAsia" w:cs="宋体" w:asciiTheme="minorEastAsia" w:hAnsiTheme="minorEastAsia"/>
          <w:color w:val="000000" w:themeColor="text1"/>
          <w:kern w:val="0"/>
          <w:sz w:val="24"/>
          <w:szCs w:val="24"/>
          <w:shd w:val="clear" w:color="auto" w:fill="FFFFFF"/>
          <w14:textFill>
            <w14:solidFill>
              <w14:schemeClr w14:val="tx1"/>
            </w14:solidFill>
          </w14:textFill>
        </w:rPr>
      </w:pPr>
    </w:p>
    <w:p w14:paraId="55C41ABE">
      <w:pPr>
        <w:pStyle w:val="2"/>
        <w:rPr>
          <w:rFonts w:hint="eastAsia" w:cs="宋体" w:asciiTheme="minorEastAsia" w:hAnsiTheme="minorEastAsia"/>
          <w:color w:val="000000" w:themeColor="text1"/>
          <w:kern w:val="0"/>
          <w:sz w:val="24"/>
          <w:szCs w:val="24"/>
          <w:shd w:val="clear" w:color="auto" w:fill="FFFFFF"/>
          <w14:textFill>
            <w14:solidFill>
              <w14:schemeClr w14:val="tx1"/>
            </w14:solidFill>
          </w14:textFill>
        </w:rPr>
      </w:pPr>
    </w:p>
    <w:p w14:paraId="7D1D7FC4">
      <w:pPr>
        <w:widowControl/>
        <w:spacing w:line="360" w:lineRule="auto"/>
        <w:jc w:val="center"/>
        <w:rPr>
          <w:rFonts w:cs="宋体" w:asciiTheme="minorEastAsia" w:hAnsiTheme="minorEastAsia"/>
          <w:color w:val="454545"/>
          <w:kern w:val="0"/>
          <w:sz w:val="24"/>
          <w:szCs w:val="24"/>
          <w:shd w:val="clear" w:color="auto" w:fill="FFFFFF"/>
        </w:rPr>
      </w:pPr>
      <w:bookmarkStart w:id="0" w:name="_GoBack"/>
      <w:bookmarkEnd w:id="0"/>
    </w:p>
    <w:sectPr>
      <w:pgSz w:w="11906" w:h="16838"/>
      <w:pgMar w:top="709" w:right="1134" w:bottom="70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0A8DE"/>
    <w:multiLevelType w:val="singleLevel"/>
    <w:tmpl w:val="D090A8DE"/>
    <w:lvl w:ilvl="0" w:tentative="0">
      <w:start w:val="1"/>
      <w:numFmt w:val="decimal"/>
      <w:lvlText w:val="%1."/>
      <w:lvlJc w:val="left"/>
    </w:lvl>
  </w:abstractNum>
  <w:abstractNum w:abstractNumId="1">
    <w:nsid w:val="5966009B"/>
    <w:multiLevelType w:val="singleLevel"/>
    <w:tmpl w:val="5966009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ODFhNGFjYmRmZDE2ZThhZGI1YzBlYjZiMzkwYTIifQ=="/>
  </w:docVars>
  <w:rsids>
    <w:rsidRoot w:val="00CD36EA"/>
    <w:rsid w:val="0002334E"/>
    <w:rsid w:val="00051CA8"/>
    <w:rsid w:val="000560EB"/>
    <w:rsid w:val="00076FE8"/>
    <w:rsid w:val="000B6204"/>
    <w:rsid w:val="001B03CD"/>
    <w:rsid w:val="0023625B"/>
    <w:rsid w:val="00247178"/>
    <w:rsid w:val="002A4DE8"/>
    <w:rsid w:val="002D0052"/>
    <w:rsid w:val="002D54A1"/>
    <w:rsid w:val="00316A14"/>
    <w:rsid w:val="00375AB3"/>
    <w:rsid w:val="00402A46"/>
    <w:rsid w:val="0046268F"/>
    <w:rsid w:val="004B54B5"/>
    <w:rsid w:val="00512467"/>
    <w:rsid w:val="005E2527"/>
    <w:rsid w:val="005F04CD"/>
    <w:rsid w:val="00621917"/>
    <w:rsid w:val="00651CE5"/>
    <w:rsid w:val="00684D5A"/>
    <w:rsid w:val="0069155A"/>
    <w:rsid w:val="0072355A"/>
    <w:rsid w:val="00775E41"/>
    <w:rsid w:val="00793314"/>
    <w:rsid w:val="007A6D99"/>
    <w:rsid w:val="007B104C"/>
    <w:rsid w:val="007C1577"/>
    <w:rsid w:val="007E0838"/>
    <w:rsid w:val="007E72DA"/>
    <w:rsid w:val="007F0F00"/>
    <w:rsid w:val="008015EC"/>
    <w:rsid w:val="00815119"/>
    <w:rsid w:val="0082588C"/>
    <w:rsid w:val="008A11EB"/>
    <w:rsid w:val="008A2540"/>
    <w:rsid w:val="008B2B4C"/>
    <w:rsid w:val="008B5E9D"/>
    <w:rsid w:val="00903FF7"/>
    <w:rsid w:val="00907B9E"/>
    <w:rsid w:val="0092010B"/>
    <w:rsid w:val="009274DA"/>
    <w:rsid w:val="00946B61"/>
    <w:rsid w:val="009525ED"/>
    <w:rsid w:val="00964F9C"/>
    <w:rsid w:val="0097337D"/>
    <w:rsid w:val="00993A4F"/>
    <w:rsid w:val="009D6D72"/>
    <w:rsid w:val="009D7A2D"/>
    <w:rsid w:val="009E63B4"/>
    <w:rsid w:val="009F7E35"/>
    <w:rsid w:val="00A50F15"/>
    <w:rsid w:val="00A54564"/>
    <w:rsid w:val="00A656D3"/>
    <w:rsid w:val="00A67F25"/>
    <w:rsid w:val="00A92141"/>
    <w:rsid w:val="00A95FE3"/>
    <w:rsid w:val="00B17E18"/>
    <w:rsid w:val="00B95FED"/>
    <w:rsid w:val="00B97369"/>
    <w:rsid w:val="00C036FB"/>
    <w:rsid w:val="00CD36EA"/>
    <w:rsid w:val="00D0193C"/>
    <w:rsid w:val="00D84867"/>
    <w:rsid w:val="00DB599F"/>
    <w:rsid w:val="00DC4402"/>
    <w:rsid w:val="00DE4B04"/>
    <w:rsid w:val="00E00CC7"/>
    <w:rsid w:val="00E05325"/>
    <w:rsid w:val="00E1249E"/>
    <w:rsid w:val="00E34F47"/>
    <w:rsid w:val="00E57FEF"/>
    <w:rsid w:val="00E61393"/>
    <w:rsid w:val="00EB17E8"/>
    <w:rsid w:val="00EB4E63"/>
    <w:rsid w:val="00EB5A14"/>
    <w:rsid w:val="00EC1E4E"/>
    <w:rsid w:val="00ED2A4F"/>
    <w:rsid w:val="00ED4AFC"/>
    <w:rsid w:val="00F06E86"/>
    <w:rsid w:val="00F40A7B"/>
    <w:rsid w:val="00F5349D"/>
    <w:rsid w:val="00F62CC8"/>
    <w:rsid w:val="00FE234A"/>
    <w:rsid w:val="013C246A"/>
    <w:rsid w:val="01CF7782"/>
    <w:rsid w:val="02FF7BF3"/>
    <w:rsid w:val="047F0FEB"/>
    <w:rsid w:val="04D53301"/>
    <w:rsid w:val="05025813"/>
    <w:rsid w:val="06B73E40"/>
    <w:rsid w:val="06F9310A"/>
    <w:rsid w:val="07126147"/>
    <w:rsid w:val="074327A4"/>
    <w:rsid w:val="0A2418ED"/>
    <w:rsid w:val="0A402FCB"/>
    <w:rsid w:val="0A5F5B47"/>
    <w:rsid w:val="0A7527CF"/>
    <w:rsid w:val="0B7849E6"/>
    <w:rsid w:val="0C157FE3"/>
    <w:rsid w:val="0D1129FD"/>
    <w:rsid w:val="0E6A6868"/>
    <w:rsid w:val="0E9438E5"/>
    <w:rsid w:val="100D6C71"/>
    <w:rsid w:val="10463305"/>
    <w:rsid w:val="12DD1CFF"/>
    <w:rsid w:val="13184718"/>
    <w:rsid w:val="13BD743A"/>
    <w:rsid w:val="148122B0"/>
    <w:rsid w:val="15847C00"/>
    <w:rsid w:val="16442095"/>
    <w:rsid w:val="17271958"/>
    <w:rsid w:val="172F064F"/>
    <w:rsid w:val="17563E2E"/>
    <w:rsid w:val="175E7186"/>
    <w:rsid w:val="17996410"/>
    <w:rsid w:val="18026BB8"/>
    <w:rsid w:val="18E32F33"/>
    <w:rsid w:val="18F70AD6"/>
    <w:rsid w:val="1AD05CA5"/>
    <w:rsid w:val="1CA96AC5"/>
    <w:rsid w:val="1D94745E"/>
    <w:rsid w:val="1DF779ED"/>
    <w:rsid w:val="1EBD399D"/>
    <w:rsid w:val="1F503858"/>
    <w:rsid w:val="204F1D62"/>
    <w:rsid w:val="22821F7B"/>
    <w:rsid w:val="22DE117B"/>
    <w:rsid w:val="238722F6"/>
    <w:rsid w:val="25F211C5"/>
    <w:rsid w:val="267267AA"/>
    <w:rsid w:val="26B4291F"/>
    <w:rsid w:val="27A75FE0"/>
    <w:rsid w:val="27EB2370"/>
    <w:rsid w:val="28551EE0"/>
    <w:rsid w:val="292F2731"/>
    <w:rsid w:val="2A73664D"/>
    <w:rsid w:val="2BAB5C95"/>
    <w:rsid w:val="2BF23925"/>
    <w:rsid w:val="2C607FA6"/>
    <w:rsid w:val="2C8B659A"/>
    <w:rsid w:val="2DE41E6C"/>
    <w:rsid w:val="2E913546"/>
    <w:rsid w:val="2FF94812"/>
    <w:rsid w:val="3181484B"/>
    <w:rsid w:val="31CA1248"/>
    <w:rsid w:val="32A001FB"/>
    <w:rsid w:val="333F5C66"/>
    <w:rsid w:val="34C401D1"/>
    <w:rsid w:val="34D23081"/>
    <w:rsid w:val="361E7DB5"/>
    <w:rsid w:val="375A6BCB"/>
    <w:rsid w:val="37EF5F93"/>
    <w:rsid w:val="39335925"/>
    <w:rsid w:val="39AF44A8"/>
    <w:rsid w:val="3AA840F1"/>
    <w:rsid w:val="3AFD268F"/>
    <w:rsid w:val="3B5D44F4"/>
    <w:rsid w:val="3BAC19BF"/>
    <w:rsid w:val="3CC86CCC"/>
    <w:rsid w:val="3ECD2111"/>
    <w:rsid w:val="3F8E5FAB"/>
    <w:rsid w:val="40316936"/>
    <w:rsid w:val="41B475B2"/>
    <w:rsid w:val="423242E1"/>
    <w:rsid w:val="43664B49"/>
    <w:rsid w:val="43F34941"/>
    <w:rsid w:val="445A46AE"/>
    <w:rsid w:val="46054AED"/>
    <w:rsid w:val="462B0F7F"/>
    <w:rsid w:val="46CD0AAD"/>
    <w:rsid w:val="470152B5"/>
    <w:rsid w:val="475B1488"/>
    <w:rsid w:val="482A1822"/>
    <w:rsid w:val="4AEE64DA"/>
    <w:rsid w:val="4C066EC9"/>
    <w:rsid w:val="4DB017E2"/>
    <w:rsid w:val="4F512B51"/>
    <w:rsid w:val="5088749E"/>
    <w:rsid w:val="50EE46A3"/>
    <w:rsid w:val="514B3CFC"/>
    <w:rsid w:val="51E63A25"/>
    <w:rsid w:val="52CA2089"/>
    <w:rsid w:val="532F4F57"/>
    <w:rsid w:val="537F7C8D"/>
    <w:rsid w:val="53915C12"/>
    <w:rsid w:val="53D8739D"/>
    <w:rsid w:val="55CE3334"/>
    <w:rsid w:val="572E2CB0"/>
    <w:rsid w:val="576176AA"/>
    <w:rsid w:val="576D24F2"/>
    <w:rsid w:val="57AC7D14"/>
    <w:rsid w:val="58535244"/>
    <w:rsid w:val="59401C6C"/>
    <w:rsid w:val="597436C4"/>
    <w:rsid w:val="5A84202D"/>
    <w:rsid w:val="5CE13766"/>
    <w:rsid w:val="5D177188"/>
    <w:rsid w:val="5DA70DA8"/>
    <w:rsid w:val="5E7F3237"/>
    <w:rsid w:val="5EE4309A"/>
    <w:rsid w:val="5F17346F"/>
    <w:rsid w:val="601D2D07"/>
    <w:rsid w:val="60BF75F6"/>
    <w:rsid w:val="6350444C"/>
    <w:rsid w:val="65222B6E"/>
    <w:rsid w:val="65AE7F5E"/>
    <w:rsid w:val="66BF7DA6"/>
    <w:rsid w:val="6789634E"/>
    <w:rsid w:val="67935D42"/>
    <w:rsid w:val="67BF28F6"/>
    <w:rsid w:val="681542C4"/>
    <w:rsid w:val="68B00A82"/>
    <w:rsid w:val="69205616"/>
    <w:rsid w:val="69395CE1"/>
    <w:rsid w:val="6962178B"/>
    <w:rsid w:val="6B161AF0"/>
    <w:rsid w:val="6BBF2EC5"/>
    <w:rsid w:val="6C05229F"/>
    <w:rsid w:val="6C0B435C"/>
    <w:rsid w:val="6C5418E8"/>
    <w:rsid w:val="6C9854C4"/>
    <w:rsid w:val="6DF64B98"/>
    <w:rsid w:val="6E5A6DD8"/>
    <w:rsid w:val="6F80296B"/>
    <w:rsid w:val="704B3FDF"/>
    <w:rsid w:val="70F754A2"/>
    <w:rsid w:val="74454183"/>
    <w:rsid w:val="74B03CF2"/>
    <w:rsid w:val="74F0129D"/>
    <w:rsid w:val="76037E52"/>
    <w:rsid w:val="774C5A91"/>
    <w:rsid w:val="77A13DC6"/>
    <w:rsid w:val="782F0023"/>
    <w:rsid w:val="78591FAB"/>
    <w:rsid w:val="79E61F64"/>
    <w:rsid w:val="7A13686E"/>
    <w:rsid w:val="7B1623D5"/>
    <w:rsid w:val="7B2661F3"/>
    <w:rsid w:val="7B5C2273"/>
    <w:rsid w:val="7C370855"/>
    <w:rsid w:val="7E2575E0"/>
    <w:rsid w:val="7E50703A"/>
    <w:rsid w:val="7ECB34D7"/>
    <w:rsid w:val="7EE84089"/>
    <w:rsid w:val="7F100A57"/>
    <w:rsid w:val="7F405C73"/>
    <w:rsid w:val="7FB504D5"/>
    <w:rsid w:val="7FD02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autoRedefine/>
    <w:qFormat/>
    <w:uiPriority w:val="1"/>
    <w:rPr>
      <w:rFonts w:ascii="仿宋" w:hAnsi="仿宋" w:eastAsia="仿宋" w:cs="仿宋"/>
      <w:sz w:val="32"/>
      <w:szCs w:val="32"/>
    </w:rPr>
  </w:style>
  <w:style w:type="paragraph" w:styleId="4">
    <w:name w:val="annotation text"/>
    <w:basedOn w:val="1"/>
    <w:link w:val="20"/>
    <w:autoRedefine/>
    <w:semiHidden/>
    <w:unhideWhenUsed/>
    <w:qFormat/>
    <w:uiPriority w:val="99"/>
    <w:pPr>
      <w:jc w:val="left"/>
    </w:pPr>
  </w:style>
  <w:style w:type="paragraph" w:styleId="5">
    <w:name w:val="Date"/>
    <w:basedOn w:val="1"/>
    <w:next w:val="1"/>
    <w:link w:val="19"/>
    <w:autoRedefine/>
    <w:semiHidden/>
    <w:unhideWhenUsed/>
    <w:qFormat/>
    <w:uiPriority w:val="99"/>
    <w:pPr>
      <w:ind w:left="100" w:leftChars="2500"/>
    </w:pPr>
  </w:style>
  <w:style w:type="paragraph" w:styleId="6">
    <w:name w:val="Balloon Text"/>
    <w:basedOn w:val="1"/>
    <w:link w:val="22"/>
    <w:autoRedefine/>
    <w:semiHidden/>
    <w:unhideWhenUsed/>
    <w:qFormat/>
    <w:uiPriority w:val="99"/>
    <w:rPr>
      <w:sz w:val="18"/>
      <w:szCs w:val="18"/>
    </w:rPr>
  </w:style>
  <w:style w:type="paragraph" w:styleId="7">
    <w:name w:val="footer"/>
    <w:basedOn w:val="1"/>
    <w:link w:val="18"/>
    <w:autoRedefine/>
    <w:unhideWhenUsed/>
    <w:qFormat/>
    <w:uiPriority w:val="99"/>
    <w:pPr>
      <w:tabs>
        <w:tab w:val="center" w:pos="4153"/>
        <w:tab w:val="right" w:pos="8306"/>
      </w:tabs>
      <w:snapToGrid w:val="0"/>
      <w:jc w:val="left"/>
    </w:pPr>
    <w:rPr>
      <w:sz w:val="18"/>
      <w:szCs w:val="18"/>
    </w:rPr>
  </w:style>
  <w:style w:type="paragraph" w:styleId="8">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1">
    <w:name w:val="annotation subject"/>
    <w:basedOn w:val="4"/>
    <w:next w:val="4"/>
    <w:link w:val="21"/>
    <w:autoRedefine/>
    <w:semiHidden/>
    <w:unhideWhenUsed/>
    <w:qFormat/>
    <w:uiPriority w:val="99"/>
    <w:rPr>
      <w:b/>
      <w:bCs/>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autoRedefine/>
    <w:semiHidden/>
    <w:unhideWhenUsed/>
    <w:qFormat/>
    <w:uiPriority w:val="99"/>
    <w:rPr>
      <w:color w:val="0000FF"/>
      <w:u w:val="single"/>
    </w:rPr>
  </w:style>
  <w:style w:type="character" w:styleId="16">
    <w:name w:val="annotation reference"/>
    <w:basedOn w:val="14"/>
    <w:autoRedefine/>
    <w:semiHidden/>
    <w:unhideWhenUsed/>
    <w:qFormat/>
    <w:uiPriority w:val="99"/>
    <w:rPr>
      <w:sz w:val="21"/>
      <w:szCs w:val="21"/>
    </w:rPr>
  </w:style>
  <w:style w:type="character" w:customStyle="1" w:styleId="17">
    <w:name w:val="页眉 Char"/>
    <w:basedOn w:val="14"/>
    <w:link w:val="8"/>
    <w:autoRedefine/>
    <w:qFormat/>
    <w:uiPriority w:val="99"/>
    <w:rPr>
      <w:sz w:val="18"/>
      <w:szCs w:val="18"/>
    </w:rPr>
  </w:style>
  <w:style w:type="character" w:customStyle="1" w:styleId="18">
    <w:name w:val="页脚 Char"/>
    <w:basedOn w:val="14"/>
    <w:link w:val="7"/>
    <w:autoRedefine/>
    <w:qFormat/>
    <w:uiPriority w:val="99"/>
    <w:rPr>
      <w:sz w:val="18"/>
      <w:szCs w:val="18"/>
    </w:rPr>
  </w:style>
  <w:style w:type="character" w:customStyle="1" w:styleId="19">
    <w:name w:val="日期 Char"/>
    <w:basedOn w:val="14"/>
    <w:link w:val="5"/>
    <w:autoRedefine/>
    <w:semiHidden/>
    <w:qFormat/>
    <w:uiPriority w:val="99"/>
  </w:style>
  <w:style w:type="character" w:customStyle="1" w:styleId="20">
    <w:name w:val="批注文字 Char"/>
    <w:basedOn w:val="14"/>
    <w:link w:val="4"/>
    <w:autoRedefine/>
    <w:semiHidden/>
    <w:qFormat/>
    <w:uiPriority w:val="99"/>
    <w:rPr>
      <w:kern w:val="2"/>
      <w:sz w:val="21"/>
      <w:szCs w:val="22"/>
    </w:rPr>
  </w:style>
  <w:style w:type="character" w:customStyle="1" w:styleId="21">
    <w:name w:val="批注主题 Char"/>
    <w:basedOn w:val="20"/>
    <w:link w:val="11"/>
    <w:autoRedefine/>
    <w:semiHidden/>
    <w:qFormat/>
    <w:uiPriority w:val="99"/>
    <w:rPr>
      <w:b/>
      <w:bCs/>
      <w:kern w:val="2"/>
      <w:sz w:val="21"/>
      <w:szCs w:val="22"/>
    </w:rPr>
  </w:style>
  <w:style w:type="character" w:customStyle="1" w:styleId="22">
    <w:name w:val="批注框文本 Char"/>
    <w:basedOn w:val="14"/>
    <w:link w:val="6"/>
    <w:autoRedefine/>
    <w:semiHidden/>
    <w:qFormat/>
    <w:uiPriority w:val="99"/>
    <w:rPr>
      <w:kern w:val="2"/>
      <w:sz w:val="18"/>
      <w:szCs w:val="18"/>
    </w:rPr>
  </w:style>
  <w:style w:type="paragraph" w:styleId="2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2076</Words>
  <Characters>2186</Characters>
  <Lines>16</Lines>
  <Paragraphs>4</Paragraphs>
  <TotalTime>4</TotalTime>
  <ScaleCrop>false</ScaleCrop>
  <LinksUpToDate>false</LinksUpToDate>
  <CharactersWithSpaces>2193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2023-02-21T09:21:00Z</dcterms:created>
  <dc:creator>lyx</dc:creator>
  <cp:lastModifiedBy>纪兴盟</cp:lastModifiedBy>
  <dcterms:modified xsi:type="dcterms:W3CDTF">2025-05-22T02:03:42Z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00D4718272B04F2A94B5C68451EDBB91_13</vt:lpwstr>
  </property>
  <property fmtid="{D5CDD505-2E9C-101B-9397-08002B2CF9AE}" pid="4" name="KSOTemplateDocerSaveRecord">
    <vt:lpwstr>eyJoZGlkIjoiOWQ0ODFhNGFjYmRmZDE2ZThhZGI1YzBlYjZiMzkwYTIiLCJ1c2VySWQiOiIzNzE1ODcwMTYifQ==</vt:lpwstr>
  </property>
</Properties>
</file>