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6381F">
      <w:pPr>
        <w:pStyle w:val="6"/>
        <w:keepNext w:val="0"/>
        <w:keepLines w:val="0"/>
        <w:pageBreakBefore w:val="0"/>
        <w:widowControl w:val="0"/>
        <w:kinsoku/>
        <w:wordWrap/>
        <w:overflowPunct/>
        <w:topLinePunct w:val="0"/>
        <w:autoSpaceDE/>
        <w:autoSpaceDN/>
        <w:bidi w:val="0"/>
        <w:adjustRightInd/>
        <w:snapToGrid/>
        <w:spacing w:before="313" w:after="313" w:line="288" w:lineRule="auto"/>
        <w:ind w:firstLine="0" w:firstLineChars="0"/>
        <w:jc w:val="center"/>
        <w:textAlignment w:val="auto"/>
        <w:rPr>
          <w:rFonts w:hint="eastAsia" w:ascii="微软雅黑" w:hAnsi="微软雅黑" w:eastAsia="微软雅黑" w:cs="微软雅黑"/>
          <w:b w:val="0"/>
          <w:bCs/>
          <w:color w:val="000000" w:themeColor="text1"/>
          <w:sz w:val="32"/>
          <w:szCs w:val="32"/>
          <w:highlight w:val="none"/>
          <w:lang w:val="zh-CN"/>
          <w14:textFill>
            <w14:solidFill>
              <w14:schemeClr w14:val="tx1"/>
            </w14:solidFill>
          </w14:textFill>
        </w:rPr>
      </w:pPr>
      <w:r>
        <w:rPr>
          <w:rFonts w:hint="eastAsia" w:ascii="微软雅黑" w:hAnsi="微软雅黑" w:eastAsia="微软雅黑" w:cs="微软雅黑"/>
          <w:b w:val="0"/>
          <w:bCs/>
          <w:color w:val="000000" w:themeColor="text1"/>
          <w:sz w:val="32"/>
          <w:szCs w:val="32"/>
          <w:highlight w:val="none"/>
          <w:lang w:val="zh-CN"/>
          <w14:textFill>
            <w14:solidFill>
              <w14:schemeClr w14:val="tx1"/>
            </w14:solidFill>
          </w14:textFill>
        </w:rPr>
        <w:t>零星修缮工程用户需求书</w:t>
      </w:r>
    </w:p>
    <w:p w14:paraId="19A283A7">
      <w:pPr>
        <w:pStyle w:val="2"/>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第一条：工程概况</w:t>
      </w:r>
    </w:p>
    <w:p w14:paraId="6FD4F862">
      <w:pPr>
        <w:pStyle w:val="5"/>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 工程名称：</w:t>
      </w:r>
      <w:r>
        <w:rPr>
          <w:rFonts w:hint="eastAsia"/>
          <w:color w:val="000000" w:themeColor="text1"/>
          <w:highlight w:val="none"/>
          <w:lang w:eastAsia="zh-CN"/>
          <w14:textFill>
            <w14:solidFill>
              <w14:schemeClr w14:val="tx1"/>
            </w14:solidFill>
          </w14:textFill>
        </w:rPr>
        <w:t>中山大学肿瘤防治中心202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lang w:eastAsia="zh-CN"/>
          <w14:textFill>
            <w14:solidFill>
              <w14:schemeClr w14:val="tx1"/>
            </w14:solidFill>
          </w14:textFill>
        </w:rPr>
        <w:t>年零星修缮</w:t>
      </w:r>
      <w:r>
        <w:rPr>
          <w:rFonts w:hint="eastAsia"/>
          <w:color w:val="000000" w:themeColor="text1"/>
          <w:highlight w:val="none"/>
          <w:lang w:val="en-US" w:eastAsia="zh-CN"/>
          <w14:textFill>
            <w14:solidFill>
              <w14:schemeClr w14:val="tx1"/>
            </w14:solidFill>
          </w14:textFill>
        </w:rPr>
        <w:t>项目</w:t>
      </w:r>
    </w:p>
    <w:p w14:paraId="187A0AC3">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 项目地点</w:t>
      </w:r>
      <w:r>
        <w:rPr>
          <w:rFonts w:hint="eastAsia"/>
          <w:color w:val="000000" w:themeColor="text1"/>
          <w:highlight w:val="none"/>
          <w14:textFill>
            <w14:solidFill>
              <w14:schemeClr w14:val="tx1"/>
            </w14:solidFill>
          </w14:textFill>
        </w:rPr>
        <w:t>：越秀院区自有</w:t>
      </w:r>
      <w:r>
        <w:rPr>
          <w:color w:val="000000" w:themeColor="text1"/>
          <w:highlight w:val="none"/>
          <w14:textFill>
            <w14:solidFill>
              <w14:schemeClr w14:val="tx1"/>
            </w14:solidFill>
          </w14:textFill>
        </w:rPr>
        <w:t>物业及外租物业等</w:t>
      </w:r>
      <w:r>
        <w:rPr>
          <w:rFonts w:hint="eastAsia"/>
          <w:color w:val="000000" w:themeColor="text1"/>
          <w:highlight w:val="none"/>
          <w14:textFill>
            <w14:solidFill>
              <w14:schemeClr w14:val="tx1"/>
            </w14:solidFill>
          </w14:textFill>
        </w:rPr>
        <w:t>（包含越秀院区1、2号楼及放疗中心，青菜岗体检中心、先烈南路19号大院宿舍区、新港东路宿舍区、水荫西约宿舍区、犀牛北街宿舍区、天河南二路六运六街宿舍和大学城实验室、中山大学北校区实验室、华泰办公区、华泰宿舍区等）；黄埔院区自有</w:t>
      </w:r>
      <w:r>
        <w:rPr>
          <w:color w:val="000000" w:themeColor="text1"/>
          <w:highlight w:val="none"/>
          <w14:textFill>
            <w14:solidFill>
              <w14:schemeClr w14:val="tx1"/>
            </w14:solidFill>
          </w14:textFill>
        </w:rPr>
        <w:t>物业及外租物业等</w:t>
      </w:r>
      <w:r>
        <w:rPr>
          <w:rFonts w:hint="eastAsia"/>
          <w:color w:val="000000" w:themeColor="text1"/>
          <w:highlight w:val="none"/>
          <w14:textFill>
            <w14:solidFill>
              <w14:schemeClr w14:val="tx1"/>
            </w14:solidFill>
          </w14:textFill>
        </w:rPr>
        <w:t>（包含黄埔院区1、2号楼、腾飞园实验室、合景天峻宿舍公寓等）</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以及其他新增物业等</w:t>
      </w:r>
      <w:r>
        <w:rPr>
          <w:rFonts w:hint="eastAsia"/>
          <w:color w:val="000000" w:themeColor="text1"/>
          <w:highlight w:val="none"/>
          <w14:textFill>
            <w14:solidFill>
              <w14:schemeClr w14:val="tx1"/>
            </w14:solidFill>
          </w14:textFill>
        </w:rPr>
        <w:t>。</w:t>
      </w:r>
    </w:p>
    <w:p w14:paraId="6DD57DBD">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 承包</w:t>
      </w:r>
      <w:r>
        <w:rPr>
          <w:rFonts w:hint="eastAsia"/>
          <w:color w:val="000000" w:themeColor="text1"/>
          <w:highlight w:val="none"/>
          <w14:textFill>
            <w14:solidFill>
              <w14:schemeClr w14:val="tx1"/>
            </w14:solidFill>
          </w14:textFill>
        </w:rPr>
        <w:t>范围：</w:t>
      </w:r>
      <w:r>
        <w:rPr>
          <w:rFonts w:hint="eastAsia"/>
          <w:color w:val="000000" w:themeColor="text1"/>
          <w:highlight w:val="none"/>
          <w:lang w:val="zh-CN"/>
          <w14:textFill>
            <w14:solidFill>
              <w14:schemeClr w14:val="tx1"/>
            </w14:solidFill>
          </w14:textFill>
        </w:rPr>
        <w:t>定点承包</w:t>
      </w:r>
      <w:r>
        <w:rPr>
          <w:rFonts w:hint="eastAsia"/>
          <w:color w:val="000000" w:themeColor="text1"/>
          <w:highlight w:val="none"/>
          <w:lang w:eastAsia="zh-CN"/>
          <w14:textFill>
            <w14:solidFill>
              <w14:schemeClr w14:val="tx1"/>
            </w14:solidFill>
          </w14:textFill>
        </w:rPr>
        <w:t>中山大学肿瘤防治中心</w:t>
      </w:r>
      <w:r>
        <w:rPr>
          <w:rFonts w:hint="eastAsia"/>
          <w:color w:val="000000" w:themeColor="text1"/>
          <w:highlight w:val="none"/>
          <w:lang w:val="zh-CN"/>
          <w14:textFill>
            <w14:solidFill>
              <w14:schemeClr w14:val="tx1"/>
            </w14:solidFill>
          </w14:textFill>
        </w:rPr>
        <w:t>单项金额</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万元（</w:t>
      </w:r>
      <w:r>
        <w:rPr>
          <w:rFonts w:hint="eastAsia"/>
          <w:color w:val="000000" w:themeColor="text1"/>
          <w:highlight w:val="none"/>
          <w:lang w:val="en-US" w:eastAsia="zh-CN"/>
          <w14:textFill>
            <w14:solidFill>
              <w14:schemeClr w14:val="tx1"/>
            </w14:solidFill>
          </w14:textFill>
        </w:rPr>
        <w:t>不</w:t>
      </w:r>
      <w:r>
        <w:rPr>
          <w:rFonts w:hint="eastAsia"/>
          <w:color w:val="000000" w:themeColor="text1"/>
          <w:highlight w:val="none"/>
          <w14:textFill>
            <w14:solidFill>
              <w14:schemeClr w14:val="tx1"/>
            </w14:solidFill>
          </w14:textFill>
        </w:rPr>
        <w:t>含）以下的零星修缮工程</w:t>
      </w:r>
      <w:r>
        <w:rPr>
          <w:rFonts w:hint="eastAsia"/>
          <w:color w:val="000000" w:themeColor="text1"/>
          <w:highlight w:val="none"/>
          <w:lang w:val="zh-CN"/>
          <w14:textFill>
            <w14:solidFill>
              <w14:schemeClr w14:val="tx1"/>
            </w14:solidFill>
          </w14:textFill>
        </w:rPr>
        <w:t>，含土建、水电修缮及装修等</w:t>
      </w:r>
      <w:r>
        <w:rPr>
          <w:rFonts w:hint="eastAsia"/>
          <w:color w:val="000000" w:themeColor="text1"/>
          <w:highlight w:val="none"/>
          <w14:textFill>
            <w14:solidFill>
              <w14:schemeClr w14:val="tx1"/>
            </w14:solidFill>
          </w14:textFill>
        </w:rPr>
        <w:t>。</w:t>
      </w:r>
    </w:p>
    <w:p w14:paraId="7537F9E7">
      <w:pPr>
        <w:pStyle w:val="5"/>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 承包方式：以实际发生的工程量，依据现行《建设工程工程量清单计价规范》及《广东省修缮工程综合定额2012》《广东省房屋建筑与装饰工程定额2018》《广东省通用安装工程综合定额2018》等相关定额、计价办法结算，结算时以税前总价为基数再按投标下浮率计算含税总价。</w:t>
      </w:r>
    </w:p>
    <w:p w14:paraId="3D71F5E7">
      <w:pPr>
        <w:pStyle w:val="2"/>
        <w:bidi w:val="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条：</w:t>
      </w:r>
      <w:r>
        <w:rPr>
          <w:rFonts w:hint="eastAsia"/>
          <w:color w:val="000000" w:themeColor="text1"/>
          <w:highlight w:val="none"/>
          <w:lang w:val="en-US" w:eastAsia="zh-CN"/>
          <w14:textFill>
            <w14:solidFill>
              <w14:schemeClr w14:val="tx1"/>
            </w14:solidFill>
          </w14:textFill>
        </w:rPr>
        <w:t>合同期限</w:t>
      </w:r>
      <w:bookmarkStart w:id="0" w:name="_GoBack"/>
      <w:bookmarkEnd w:id="0"/>
    </w:p>
    <w:p w14:paraId="5F68D47B">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自合同生效之日起3年或结算金额达到1800万元时止，以先到者为准</w:t>
      </w:r>
      <w:r>
        <w:rPr>
          <w:rFonts w:hint="eastAsia"/>
          <w:color w:val="000000" w:themeColor="text1"/>
          <w:highlight w:val="none"/>
          <w14:textFill>
            <w14:solidFill>
              <w14:schemeClr w14:val="tx1"/>
            </w14:solidFill>
          </w14:textFill>
        </w:rPr>
        <w:t>。</w:t>
      </w:r>
    </w:p>
    <w:p w14:paraId="40ABA503">
      <w:pPr>
        <w:pStyle w:val="2"/>
        <w:bidi w:val="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条：</w:t>
      </w:r>
      <w:r>
        <w:rPr>
          <w:rFonts w:hint="eastAsia"/>
          <w:color w:val="000000" w:themeColor="text1"/>
          <w:highlight w:val="none"/>
          <w:lang w:val="en-US" w:eastAsia="zh-CN"/>
          <w14:textFill>
            <w14:solidFill>
              <w14:schemeClr w14:val="tx1"/>
            </w14:solidFill>
          </w14:textFill>
        </w:rPr>
        <w:t>服务要求</w:t>
      </w:r>
    </w:p>
    <w:p w14:paraId="4449C882">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1</w:t>
      </w:r>
      <w:r>
        <w:rPr>
          <w:rFonts w:hint="eastAsia" w:ascii="仿宋" w:hAnsi="仿宋" w:eastAsia="仿宋"/>
          <w:color w:val="000000" w:themeColor="text1"/>
          <w:sz w:val="24"/>
          <w:szCs w:val="24"/>
          <w:highlight w:val="none"/>
          <w:lang w:val="hr-HR"/>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项目</w:t>
      </w:r>
      <w:r>
        <w:rPr>
          <w:rFonts w:hint="eastAsia" w:ascii="仿宋" w:hAnsi="仿宋" w:eastAsia="仿宋"/>
          <w:color w:val="000000" w:themeColor="text1"/>
          <w:sz w:val="24"/>
          <w:szCs w:val="24"/>
          <w:highlight w:val="none"/>
          <w:lang w:val="hr-HR"/>
          <w14:textFill>
            <w14:solidFill>
              <w14:schemeClr w14:val="tx1"/>
            </w14:solidFill>
          </w14:textFill>
        </w:rPr>
        <w:t>人员配置</w:t>
      </w:r>
    </w:p>
    <w:p w14:paraId="5CA683AA">
      <w:pPr>
        <w:pStyle w:val="7"/>
        <w:rPr>
          <w:rFonts w:hint="eastAsia"/>
          <w:color w:val="000000" w:themeColor="text1"/>
          <w:sz w:val="24"/>
          <w:szCs w:val="24"/>
          <w:highlight w:val="none"/>
          <w:lang w:val="hr-HR" w:eastAsia="zh-CN"/>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1</w:t>
      </w:r>
      <w:r>
        <w:rPr>
          <w:rFonts w:hint="eastAsia" w:ascii="仿宋" w:hAnsi="仿宋" w:eastAsia="仿宋"/>
          <w:color w:val="000000" w:themeColor="text1"/>
          <w:sz w:val="24"/>
          <w:szCs w:val="24"/>
          <w:highlight w:val="none"/>
          <w:lang w:val="hr-HR"/>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中标人应配置</w:t>
      </w:r>
      <w:r>
        <w:rPr>
          <w:rFonts w:hint="eastAsia" w:ascii="仿宋" w:hAnsi="仿宋" w:eastAsia="仿宋"/>
          <w:color w:val="000000" w:themeColor="text1"/>
          <w:sz w:val="24"/>
          <w:szCs w:val="24"/>
          <w:highlight w:val="none"/>
          <w:lang w:val="hr-HR"/>
          <w14:textFill>
            <w14:solidFill>
              <w14:schemeClr w14:val="tx1"/>
            </w14:solidFill>
          </w14:textFill>
        </w:rPr>
        <w:t>越秀、黄埔两</w:t>
      </w:r>
      <w:r>
        <w:rPr>
          <w:rFonts w:hint="eastAsia"/>
          <w:color w:val="000000" w:themeColor="text1"/>
          <w:sz w:val="24"/>
          <w:szCs w:val="24"/>
          <w:highlight w:val="none"/>
          <w:lang w:val="en-US" w:eastAsia="zh-CN"/>
          <w14:textFill>
            <w14:solidFill>
              <w14:schemeClr w14:val="tx1"/>
            </w14:solidFill>
          </w14:textFill>
        </w:rPr>
        <w:t>个</w:t>
      </w:r>
      <w:r>
        <w:rPr>
          <w:rFonts w:hint="eastAsia" w:ascii="仿宋" w:hAnsi="仿宋" w:eastAsia="仿宋"/>
          <w:color w:val="000000" w:themeColor="text1"/>
          <w:sz w:val="24"/>
          <w:szCs w:val="24"/>
          <w:highlight w:val="none"/>
          <w:lang w:val="hr-HR"/>
          <w14:textFill>
            <w14:solidFill>
              <w14:schemeClr w14:val="tx1"/>
            </w14:solidFill>
          </w14:textFill>
        </w:rPr>
        <w:t>院区项目管理</w:t>
      </w:r>
      <w:r>
        <w:rPr>
          <w:rFonts w:hint="eastAsia"/>
          <w:color w:val="000000" w:themeColor="text1"/>
          <w:sz w:val="24"/>
          <w:szCs w:val="24"/>
          <w:highlight w:val="none"/>
          <w:lang w:val="en-US" w:eastAsia="zh-CN"/>
          <w14:textFill>
            <w14:solidFill>
              <w14:schemeClr w14:val="tx1"/>
            </w14:solidFill>
          </w14:textFill>
        </w:rPr>
        <w:t>经理</w:t>
      </w:r>
      <w:r>
        <w:rPr>
          <w:rFonts w:hint="eastAsia" w:ascii="仿宋" w:hAnsi="仿宋" w:eastAsia="仿宋"/>
          <w:color w:val="000000" w:themeColor="text1"/>
          <w:sz w:val="24"/>
          <w:szCs w:val="24"/>
          <w:highlight w:val="none"/>
          <w:lang w:val="hr-HR"/>
          <w14:textFill>
            <w14:solidFill>
              <w14:schemeClr w14:val="tx1"/>
            </w14:solidFill>
          </w14:textFill>
        </w:rPr>
        <w:t>（项目负责人）各1人，配置安全员（允许兼职）各1人，工程造价人</w:t>
      </w:r>
      <w:r>
        <w:rPr>
          <w:rFonts w:hint="eastAsia"/>
          <w:color w:val="000000" w:themeColor="text1"/>
          <w:sz w:val="24"/>
          <w:szCs w:val="24"/>
          <w:highlight w:val="none"/>
          <w:lang w:val="en-US" w:eastAsia="zh-CN"/>
          <w14:textFill>
            <w14:solidFill>
              <w14:schemeClr w14:val="tx1"/>
            </w14:solidFill>
          </w14:textFill>
        </w:rPr>
        <w:t>员1人，</w:t>
      </w:r>
      <w:r>
        <w:rPr>
          <w:rFonts w:hint="eastAsia"/>
          <w:b w:val="0"/>
          <w:bCs w:val="0"/>
          <w:color w:val="000000" w:themeColor="text1"/>
          <w:sz w:val="24"/>
          <w:szCs w:val="24"/>
          <w:highlight w:val="none"/>
          <w:lang w:val="en-US" w:eastAsia="zh-CN"/>
          <w14:textFill>
            <w14:solidFill>
              <w14:schemeClr w14:val="tx1"/>
            </w14:solidFill>
          </w14:textFill>
        </w:rPr>
        <w:t>以上人员</w:t>
      </w:r>
      <w:r>
        <w:rPr>
          <w:rFonts w:hint="eastAsia" w:ascii="仿宋" w:hAnsi="仿宋" w:eastAsia="仿宋"/>
          <w:b w:val="0"/>
          <w:bCs w:val="0"/>
          <w:color w:val="000000" w:themeColor="text1"/>
          <w:sz w:val="24"/>
          <w:szCs w:val="24"/>
          <w:highlight w:val="none"/>
          <w:lang w:val="hr-HR"/>
          <w14:textFill>
            <w14:solidFill>
              <w14:schemeClr w14:val="tx1"/>
            </w14:solidFill>
          </w14:textFill>
        </w:rPr>
        <w:t>均须为</w:t>
      </w:r>
      <w:r>
        <w:rPr>
          <w:rFonts w:hint="eastAsia"/>
          <w:b w:val="0"/>
          <w:bCs w:val="0"/>
          <w:color w:val="000000" w:themeColor="text1"/>
          <w:sz w:val="24"/>
          <w:szCs w:val="24"/>
          <w:highlight w:val="none"/>
          <w:lang w:val="hr-HR" w:eastAsia="zh-CN"/>
          <w14:textFill>
            <w14:solidFill>
              <w14:schemeClr w14:val="tx1"/>
            </w14:solidFill>
          </w14:textFill>
        </w:rPr>
        <w:t>中标人</w:t>
      </w:r>
      <w:r>
        <w:rPr>
          <w:rFonts w:hint="eastAsia" w:ascii="仿宋" w:hAnsi="仿宋" w:eastAsia="仿宋"/>
          <w:b w:val="0"/>
          <w:bCs w:val="0"/>
          <w:color w:val="000000" w:themeColor="text1"/>
          <w:sz w:val="24"/>
          <w:szCs w:val="24"/>
          <w:highlight w:val="none"/>
          <w:lang w:val="hr-HR"/>
          <w14:textFill>
            <w14:solidFill>
              <w14:schemeClr w14:val="tx1"/>
            </w14:solidFill>
          </w14:textFill>
        </w:rPr>
        <w:t>在职人员</w:t>
      </w:r>
      <w:r>
        <w:rPr>
          <w:rFonts w:hint="eastAsia"/>
          <w:b w:val="0"/>
          <w:bCs w:val="0"/>
          <w:color w:val="000000" w:themeColor="text1"/>
          <w:sz w:val="24"/>
          <w:szCs w:val="24"/>
          <w:highlight w:val="none"/>
          <w:lang w:val="hr-HR"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须提供社保证明</w:t>
      </w:r>
      <w:r>
        <w:rPr>
          <w:rFonts w:hint="eastAsia"/>
          <w:b w:val="0"/>
          <w:bCs w:val="0"/>
          <w:color w:val="000000" w:themeColor="text1"/>
          <w:sz w:val="24"/>
          <w:szCs w:val="24"/>
          <w:highlight w:val="none"/>
          <w:lang w:val="hr-HR" w:eastAsia="zh-CN"/>
          <w14:textFill>
            <w14:solidFill>
              <w14:schemeClr w14:val="tx1"/>
            </w14:solidFill>
          </w14:textFill>
        </w:rPr>
        <w:t>。</w:t>
      </w:r>
    </w:p>
    <w:p w14:paraId="3E87F2E7">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3.1.2 </w:t>
      </w:r>
      <w:r>
        <w:rPr>
          <w:rFonts w:hint="eastAsia" w:ascii="仿宋" w:hAnsi="仿宋" w:eastAsia="仿宋"/>
          <w:color w:val="000000" w:themeColor="text1"/>
          <w:sz w:val="24"/>
          <w:szCs w:val="24"/>
          <w:highlight w:val="none"/>
          <w:lang w:val="hr-HR"/>
          <w14:textFill>
            <w14:solidFill>
              <w14:schemeClr w14:val="tx1"/>
            </w14:solidFill>
          </w14:textFill>
        </w:rPr>
        <w:t>拟担任本项目的项目</w:t>
      </w:r>
      <w:r>
        <w:rPr>
          <w:rFonts w:hint="eastAsia"/>
          <w:color w:val="000000" w:themeColor="text1"/>
          <w:sz w:val="24"/>
          <w:szCs w:val="24"/>
          <w:highlight w:val="none"/>
          <w:lang w:val="en-US" w:eastAsia="zh-CN"/>
          <w14:textFill>
            <w14:solidFill>
              <w14:schemeClr w14:val="tx1"/>
            </w14:solidFill>
          </w14:textFill>
        </w:rPr>
        <w:t>经理</w:t>
      </w:r>
      <w:r>
        <w:rPr>
          <w:rFonts w:hint="eastAsia" w:ascii="仿宋" w:hAnsi="仿宋" w:eastAsia="仿宋"/>
          <w:color w:val="000000" w:themeColor="text1"/>
          <w:sz w:val="24"/>
          <w:szCs w:val="24"/>
          <w:highlight w:val="none"/>
          <w:lang w:val="hr-HR"/>
          <w14:textFill>
            <w14:solidFill>
              <w14:schemeClr w14:val="tx1"/>
            </w14:solidFill>
          </w14:textFill>
        </w:rPr>
        <w:t>及工程造价人员属于关键性岗位，要求长期相对固定，如</w:t>
      </w:r>
      <w:r>
        <w:rPr>
          <w:rFonts w:hint="eastAsia"/>
          <w:color w:val="000000" w:themeColor="text1"/>
          <w:sz w:val="24"/>
          <w:szCs w:val="24"/>
          <w:highlight w:val="none"/>
          <w:lang w:val="en-US" w:eastAsia="zh-CN"/>
          <w14:textFill>
            <w14:solidFill>
              <w14:schemeClr w14:val="tx1"/>
            </w14:solidFill>
          </w14:textFill>
        </w:rPr>
        <w:t>更换以上人员，应提前向采购人提出书面申请，采购人审批同意后才可更换</w:t>
      </w:r>
      <w:r>
        <w:rPr>
          <w:rFonts w:hint="eastAsia"/>
          <w:color w:val="000000" w:themeColor="text1"/>
          <w:sz w:val="24"/>
          <w:szCs w:val="24"/>
          <w:highlight w:val="none"/>
          <w:lang w:val="hr-HR"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拟更换人员的工程管理经验须不低于被更换人员。</w:t>
      </w:r>
    </w:p>
    <w:p w14:paraId="13564E94">
      <w:pPr>
        <w:pStyle w:val="7"/>
        <w:rPr>
          <w:rFonts w:hint="eastAsia" w:ascii="仿宋" w:hAnsi="仿宋" w:eastAsia="仿宋"/>
          <w:color w:val="000000" w:themeColor="text1"/>
          <w:sz w:val="24"/>
          <w:szCs w:val="24"/>
          <w:highlight w:val="none"/>
          <w:lang w:val="hr-HR"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3.1.3 中标人可</w:t>
      </w:r>
      <w:r>
        <w:rPr>
          <w:rFonts w:hint="eastAsia" w:ascii="仿宋" w:hAnsi="仿宋" w:eastAsia="仿宋"/>
          <w:color w:val="000000" w:themeColor="text1"/>
          <w:sz w:val="24"/>
          <w:szCs w:val="24"/>
          <w:highlight w:val="none"/>
          <w:lang w:val="hr-HR"/>
          <w14:textFill>
            <w14:solidFill>
              <w14:schemeClr w14:val="tx1"/>
            </w14:solidFill>
          </w14:textFill>
        </w:rPr>
        <w:t>根据两院区项目数量</w:t>
      </w:r>
      <w:r>
        <w:rPr>
          <w:rFonts w:hint="eastAsia"/>
          <w:color w:val="000000" w:themeColor="text1"/>
          <w:sz w:val="24"/>
          <w:szCs w:val="24"/>
          <w:highlight w:val="none"/>
          <w:lang w:val="hr-HR"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类型</w:t>
      </w:r>
      <w:r>
        <w:rPr>
          <w:rFonts w:hint="eastAsia" w:ascii="仿宋" w:hAnsi="仿宋" w:eastAsia="仿宋"/>
          <w:color w:val="000000" w:themeColor="text1"/>
          <w:sz w:val="24"/>
          <w:szCs w:val="24"/>
          <w:highlight w:val="none"/>
          <w:lang w:val="hr-HR"/>
          <w14:textFill>
            <w14:solidFill>
              <w14:schemeClr w14:val="tx1"/>
            </w14:solidFill>
          </w14:textFill>
        </w:rPr>
        <w:t>，组建驻场施工</w:t>
      </w:r>
      <w:r>
        <w:rPr>
          <w:rFonts w:hint="eastAsia"/>
          <w:color w:val="000000" w:themeColor="text1"/>
          <w:sz w:val="24"/>
          <w:szCs w:val="24"/>
          <w:highlight w:val="none"/>
          <w:lang w:val="en-US" w:eastAsia="zh-CN"/>
          <w14:textFill>
            <w14:solidFill>
              <w14:schemeClr w14:val="tx1"/>
            </w14:solidFill>
          </w14:textFill>
        </w:rPr>
        <w:t>团队</w:t>
      </w:r>
      <w:r>
        <w:rPr>
          <w:rFonts w:hint="eastAsia"/>
          <w:color w:val="000000" w:themeColor="text1"/>
          <w:sz w:val="24"/>
          <w:szCs w:val="24"/>
          <w:highlight w:val="none"/>
          <w:lang w:val="hr-HR" w:eastAsia="zh-CN"/>
          <w14:textFill>
            <w14:solidFill>
              <w14:schemeClr w14:val="tx1"/>
            </w14:solidFill>
          </w14:textFill>
        </w:rPr>
        <w:t>，</w:t>
      </w:r>
      <w:r>
        <w:rPr>
          <w:rFonts w:hint="eastAsia" w:ascii="仿宋" w:hAnsi="仿宋" w:eastAsia="仿宋"/>
          <w:color w:val="000000" w:themeColor="text1"/>
          <w:sz w:val="24"/>
          <w:szCs w:val="24"/>
          <w:highlight w:val="none"/>
          <w:lang w:val="hr-HR"/>
          <w14:textFill>
            <w14:solidFill>
              <w14:schemeClr w14:val="tx1"/>
            </w14:solidFill>
          </w14:textFill>
        </w:rPr>
        <w:t>需具备相应专业上岗操作证</w:t>
      </w:r>
      <w:r>
        <w:rPr>
          <w:rFonts w:hint="eastAsia"/>
          <w:color w:val="000000" w:themeColor="text1"/>
          <w:sz w:val="24"/>
          <w:szCs w:val="24"/>
          <w:highlight w:val="none"/>
          <w:lang w:val="hr-HR" w:eastAsia="zh-CN"/>
          <w14:textFill>
            <w14:solidFill>
              <w14:schemeClr w14:val="tx1"/>
            </w14:solidFill>
          </w14:textFill>
        </w:rPr>
        <w:t>。</w:t>
      </w:r>
    </w:p>
    <w:p w14:paraId="02B8F457">
      <w:pPr>
        <w:pStyle w:val="7"/>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3.1.4 中标人应在越秀、黄埔两个院区各派驻1名施工人员24小时驻场，应在30分钟内响应采购人突发紧急抢修任务，采购人在院内免费提供值班室。</w:t>
      </w:r>
    </w:p>
    <w:p w14:paraId="3C243369">
      <w:pPr>
        <w:pStyle w:val="7"/>
        <w:rPr>
          <w:rFonts w:hint="eastAsia"/>
          <w:b/>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3.2.1 中标人在收到工单后，应在3个工作日内完成现场踏勘，5个工作日内完制定初步施工方案及预算，初步方案与预算均需</w:t>
      </w:r>
      <w:r>
        <w:rPr>
          <w:rFonts w:hint="eastAsia"/>
          <w:b/>
          <w:color w:val="000000" w:themeColor="text1"/>
          <w:sz w:val="24"/>
          <w:szCs w:val="24"/>
          <w:highlight w:val="none"/>
          <w:lang w:val="en-US" w:eastAsia="zh-CN"/>
          <w14:textFill>
            <w14:solidFill>
              <w14:schemeClr w14:val="tx1"/>
            </w14:solidFill>
          </w14:textFill>
        </w:rPr>
        <w:t>经采购方现场管人员确认方可申报。</w:t>
      </w:r>
    </w:p>
    <w:p w14:paraId="3A6DD4F3">
      <w:pPr>
        <w:pStyle w:val="7"/>
        <w:pBdr>
          <w:bottom w:val="none" w:color="auto" w:sz="0" w:space="0"/>
        </w:pBdr>
        <w:rPr>
          <w:rFonts w:hint="eastAsia"/>
          <w:b/>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3.2.2 </w:t>
      </w:r>
      <w:r>
        <w:rPr>
          <w:rFonts w:hint="eastAsia"/>
          <w:b/>
          <w:color w:val="000000" w:themeColor="text1"/>
          <w:sz w:val="24"/>
          <w:szCs w:val="24"/>
          <w:highlight w:val="none"/>
          <w:lang w:val="en-US" w:eastAsia="zh-CN"/>
          <w14:textFill>
            <w14:solidFill>
              <w14:schemeClr w14:val="tx1"/>
            </w14:solidFill>
          </w14:textFill>
        </w:rPr>
        <w:t>对于采购人要求需出具施工图的项目，中标人应无条件配合出具施工图，施工图设计费用包含在对应项目费用中；</w:t>
      </w:r>
    </w:p>
    <w:p w14:paraId="58D857DA">
      <w:pPr>
        <w:pStyle w:val="7"/>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3.2.3如采购人需要出具方案效果图，中标人可按照1500元/张结算。（同一次建模或同一组模型，多个角度渲染只算一张，以最终确认渲染图数量为准，中途修改不另外收费）</w:t>
      </w:r>
    </w:p>
    <w:p w14:paraId="512C446E">
      <w:pPr>
        <w:pStyle w:val="7"/>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3.3 单项项目完工后，中标人应在7个工作日内向采购人提交验收申请，双方应在7个工作日内完成工程质量验收。</w:t>
      </w:r>
    </w:p>
    <w:p w14:paraId="5C1D8B7A">
      <w:pPr>
        <w:pStyle w:val="5"/>
        <w:bidi w:val="0"/>
        <w:rPr>
          <w:rFonts w:hint="eastAsia"/>
          <w:color w:val="000000" w:themeColor="text1"/>
          <w:highlight w:val="none"/>
          <w:lang w:val="hr-HR"/>
          <w14:textFill>
            <w14:solidFill>
              <w14:schemeClr w14:val="tx1"/>
            </w14:solidFill>
          </w14:textFill>
        </w:rPr>
      </w:pPr>
      <w:r>
        <w:rPr>
          <w:rFonts w:hint="eastAsia"/>
          <w:color w:val="000000" w:themeColor="text1"/>
          <w:highlight w:val="none"/>
          <w:lang w:val="hr-HR"/>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val="hr-HR"/>
          <w14:textFill>
            <w14:solidFill>
              <w14:schemeClr w14:val="tx1"/>
            </w14:solidFill>
          </w14:textFill>
        </w:rPr>
        <w:t xml:space="preserve"> 工程施工所需的全部证件以及办理有关施工场地交通、环卫和施工噪音管理等手续、交纳余泥排放费等均由</w:t>
      </w:r>
      <w:r>
        <w:rPr>
          <w:rFonts w:hint="eastAsia"/>
          <w:color w:val="000000" w:themeColor="text1"/>
          <w:highlight w:val="none"/>
          <w:lang w:val="hr-HR" w:eastAsia="zh-CN"/>
          <w14:textFill>
            <w14:solidFill>
              <w14:schemeClr w14:val="tx1"/>
            </w14:solidFill>
          </w14:textFill>
        </w:rPr>
        <w:t>中标人</w:t>
      </w:r>
      <w:r>
        <w:rPr>
          <w:rFonts w:hint="eastAsia"/>
          <w:color w:val="000000" w:themeColor="text1"/>
          <w:highlight w:val="none"/>
          <w:lang w:val="hr-HR"/>
          <w14:textFill>
            <w14:solidFill>
              <w14:schemeClr w14:val="tx1"/>
            </w14:solidFill>
          </w14:textFill>
        </w:rPr>
        <w:t>负责办理，但</w:t>
      </w:r>
      <w:r>
        <w:rPr>
          <w:rFonts w:hint="eastAsia"/>
          <w:color w:val="000000" w:themeColor="text1"/>
          <w:highlight w:val="none"/>
          <w:lang w:val="hr-HR" w:eastAsia="zh-CN"/>
          <w14:textFill>
            <w14:solidFill>
              <w14:schemeClr w14:val="tx1"/>
            </w14:solidFill>
          </w14:textFill>
        </w:rPr>
        <w:t>采购人</w:t>
      </w:r>
      <w:r>
        <w:rPr>
          <w:rFonts w:hint="eastAsia"/>
          <w:color w:val="000000" w:themeColor="text1"/>
          <w:highlight w:val="none"/>
          <w:lang w:val="hr-HR"/>
          <w14:textFill>
            <w14:solidFill>
              <w14:schemeClr w14:val="tx1"/>
            </w14:solidFill>
          </w14:textFill>
        </w:rPr>
        <w:t>应积极协助，如属政府部门指定须由</w:t>
      </w:r>
      <w:r>
        <w:rPr>
          <w:rFonts w:hint="eastAsia"/>
          <w:color w:val="000000" w:themeColor="text1"/>
          <w:highlight w:val="none"/>
          <w:lang w:val="hr-HR" w:eastAsia="zh-CN"/>
          <w14:textFill>
            <w14:solidFill>
              <w14:schemeClr w14:val="tx1"/>
            </w14:solidFill>
          </w14:textFill>
        </w:rPr>
        <w:t>采购人</w:t>
      </w:r>
      <w:r>
        <w:rPr>
          <w:rFonts w:hint="eastAsia"/>
          <w:color w:val="000000" w:themeColor="text1"/>
          <w:highlight w:val="none"/>
          <w:lang w:val="hr-HR"/>
          <w14:textFill>
            <w14:solidFill>
              <w14:schemeClr w14:val="tx1"/>
            </w14:solidFill>
          </w14:textFill>
        </w:rPr>
        <w:t>支付的费用，由</w:t>
      </w:r>
      <w:r>
        <w:rPr>
          <w:rFonts w:hint="eastAsia"/>
          <w:color w:val="000000" w:themeColor="text1"/>
          <w:highlight w:val="none"/>
          <w:lang w:val="hr-HR" w:eastAsia="zh-CN"/>
          <w14:textFill>
            <w14:solidFill>
              <w14:schemeClr w14:val="tx1"/>
            </w14:solidFill>
          </w14:textFill>
        </w:rPr>
        <w:t>采购人</w:t>
      </w:r>
      <w:r>
        <w:rPr>
          <w:rFonts w:hint="eastAsia"/>
          <w:color w:val="000000" w:themeColor="text1"/>
          <w:highlight w:val="none"/>
          <w:lang w:val="hr-HR"/>
          <w14:textFill>
            <w14:solidFill>
              <w14:schemeClr w14:val="tx1"/>
            </w14:solidFill>
          </w14:textFill>
        </w:rPr>
        <w:t>据实支付，其它费用由</w:t>
      </w:r>
      <w:r>
        <w:rPr>
          <w:rFonts w:hint="eastAsia"/>
          <w:color w:val="000000" w:themeColor="text1"/>
          <w:highlight w:val="none"/>
          <w:lang w:val="hr-HR" w:eastAsia="zh-CN"/>
          <w14:textFill>
            <w14:solidFill>
              <w14:schemeClr w14:val="tx1"/>
            </w14:solidFill>
          </w14:textFill>
        </w:rPr>
        <w:t>中标人</w:t>
      </w:r>
      <w:r>
        <w:rPr>
          <w:rFonts w:hint="eastAsia"/>
          <w:color w:val="000000" w:themeColor="text1"/>
          <w:highlight w:val="none"/>
          <w:lang w:val="hr-HR"/>
          <w14:textFill>
            <w14:solidFill>
              <w14:schemeClr w14:val="tx1"/>
            </w14:solidFill>
          </w14:textFill>
        </w:rPr>
        <w:t>承担。</w:t>
      </w:r>
    </w:p>
    <w:p w14:paraId="33864665">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5</w:t>
      </w:r>
      <w:r>
        <w:rPr>
          <w:rFonts w:hint="eastAsia" w:ascii="仿宋" w:hAnsi="仿宋" w:eastAsia="仿宋"/>
          <w:color w:val="000000" w:themeColor="text1"/>
          <w:sz w:val="24"/>
          <w:szCs w:val="24"/>
          <w:highlight w:val="none"/>
          <w:lang w:val="hr-HR"/>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中标人应</w:t>
      </w:r>
      <w:r>
        <w:rPr>
          <w:rFonts w:hint="eastAsia" w:ascii="仿宋" w:hAnsi="仿宋" w:eastAsia="仿宋"/>
          <w:color w:val="000000" w:themeColor="text1"/>
          <w:sz w:val="24"/>
          <w:szCs w:val="24"/>
          <w:highlight w:val="none"/>
          <w:lang w:val="hr-HR"/>
          <w14:textFill>
            <w14:solidFill>
              <w14:schemeClr w14:val="tx1"/>
            </w14:solidFill>
          </w14:textFill>
        </w:rPr>
        <w:t>严格执行施工规范、安全操作规程、防火安全规定、环境保护规定。严格按照图纸或做法说明进行施工，做好各项质量检查记录。</w:t>
      </w:r>
    </w:p>
    <w:p w14:paraId="5D08E054">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6</w:t>
      </w:r>
      <w:r>
        <w:rPr>
          <w:rFonts w:hint="eastAsia" w:ascii="仿宋" w:hAnsi="仿宋" w:eastAsia="仿宋"/>
          <w:color w:val="000000" w:themeColor="text1"/>
          <w:sz w:val="24"/>
          <w:szCs w:val="24"/>
          <w:highlight w:val="none"/>
          <w:lang w:val="hr-HR"/>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中标人应</w:t>
      </w:r>
      <w:r>
        <w:rPr>
          <w:rFonts w:hint="eastAsia" w:ascii="仿宋" w:hAnsi="仿宋" w:eastAsia="仿宋"/>
          <w:color w:val="000000" w:themeColor="text1"/>
          <w:sz w:val="24"/>
          <w:szCs w:val="24"/>
          <w:highlight w:val="none"/>
          <w:lang w:val="hr-HR"/>
          <w14:textFill>
            <w14:solidFill>
              <w14:schemeClr w14:val="tx1"/>
            </w14:solidFill>
          </w14:textFill>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14:paraId="11EB40FF">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7</w:t>
      </w:r>
      <w:r>
        <w:rPr>
          <w:rFonts w:hint="eastAsia" w:ascii="仿宋" w:hAnsi="仿宋" w:eastAsia="仿宋"/>
          <w:color w:val="000000" w:themeColor="text1"/>
          <w:sz w:val="24"/>
          <w:szCs w:val="24"/>
          <w:highlight w:val="none"/>
          <w:lang w:val="hr-HR"/>
          <w14:textFill>
            <w14:solidFill>
              <w14:schemeClr w14:val="tx1"/>
            </w14:solidFill>
          </w14:textFill>
        </w:rPr>
        <w:t xml:space="preserve"> 施工中未经</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同意或有关部门批准，不得随意拆改原建筑物结构及各种设备管线。</w:t>
      </w:r>
    </w:p>
    <w:p w14:paraId="69018871">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8</w:t>
      </w:r>
      <w:r>
        <w:rPr>
          <w:rFonts w:hint="eastAsia" w:ascii="仿宋" w:hAnsi="仿宋" w:eastAsia="仿宋"/>
          <w:color w:val="000000" w:themeColor="text1"/>
          <w:sz w:val="24"/>
          <w:szCs w:val="24"/>
          <w:highlight w:val="none"/>
          <w:lang w:val="hr-HR"/>
          <w14:textFill>
            <w14:solidFill>
              <w14:schemeClr w14:val="tx1"/>
            </w14:solidFill>
          </w14:textFill>
        </w:rPr>
        <w:t xml:space="preserve"> 工程竣工未移交</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之前，负责对现场的一切设施和工程成品进行保护。工程完工后负责场地清理工作，并承担相应费用。</w:t>
      </w:r>
    </w:p>
    <w:p w14:paraId="16650FFD">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9</w:t>
      </w:r>
      <w:r>
        <w:rPr>
          <w:rFonts w:hint="eastAsia" w:ascii="仿宋" w:hAnsi="仿宋" w:eastAsia="仿宋"/>
          <w:color w:val="000000" w:themeColor="text1"/>
          <w:sz w:val="24"/>
          <w:szCs w:val="24"/>
          <w:highlight w:val="none"/>
          <w:lang w:val="hr-HR"/>
          <w14:textFill>
            <w14:solidFill>
              <w14:schemeClr w14:val="tx1"/>
            </w14:solidFill>
          </w14:textFill>
        </w:rPr>
        <w:t xml:space="preserve"> 办公用水、用电由采购人免费提供，施工用水、用电由采购人提供，结算不予计取；</w:t>
      </w:r>
    </w:p>
    <w:p w14:paraId="67778A34">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10</w:t>
      </w:r>
      <w:r>
        <w:rPr>
          <w:rFonts w:hint="eastAsia" w:ascii="仿宋" w:hAnsi="仿宋" w:eastAsia="仿宋"/>
          <w:color w:val="000000" w:themeColor="text1"/>
          <w:sz w:val="24"/>
          <w:szCs w:val="24"/>
          <w:highlight w:val="none"/>
          <w:lang w:val="hr-HR"/>
          <w14:textFill>
            <w14:solidFill>
              <w14:schemeClr w14:val="tx1"/>
            </w14:solidFill>
          </w14:textFill>
        </w:rPr>
        <w:t xml:space="preserve"> 施工时需严格遵守《安全文明施工承诺书》、《工程围蔽施工要求》、《网络布线的施工要求》等合同附件的各项规定。</w:t>
      </w:r>
    </w:p>
    <w:p w14:paraId="38234261">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3.1</w:t>
      </w:r>
      <w:r>
        <w:rPr>
          <w:rFonts w:hint="eastAsia"/>
          <w:color w:val="000000" w:themeColor="text1"/>
          <w:sz w:val="24"/>
          <w:szCs w:val="24"/>
          <w:highlight w:val="none"/>
          <w:lang w:val="en-US" w:eastAsia="zh-CN"/>
          <w14:textFill>
            <w14:solidFill>
              <w14:schemeClr w14:val="tx1"/>
            </w14:solidFill>
          </w14:textFill>
        </w:rPr>
        <w:t>1</w:t>
      </w:r>
      <w:r>
        <w:rPr>
          <w:rFonts w:hint="eastAsia" w:ascii="仿宋" w:hAnsi="仿宋" w:eastAsia="仿宋"/>
          <w:color w:val="000000" w:themeColor="text1"/>
          <w:sz w:val="24"/>
          <w:szCs w:val="24"/>
          <w:highlight w:val="none"/>
          <w:lang w:val="hr-HR"/>
          <w14:textFill>
            <w14:solidFill>
              <w14:schemeClr w14:val="tx1"/>
            </w14:solidFill>
          </w14:textFill>
        </w:rPr>
        <w:t xml:space="preserve"> </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负责提供</w:t>
      </w:r>
      <w:r>
        <w:rPr>
          <w:rFonts w:hint="eastAsia"/>
          <w:color w:val="000000" w:themeColor="text1"/>
          <w:sz w:val="24"/>
          <w:szCs w:val="24"/>
          <w:highlight w:val="none"/>
          <w:lang w:val="en-US" w:eastAsia="zh-CN"/>
          <w14:textFill>
            <w14:solidFill>
              <w14:schemeClr w14:val="tx1"/>
            </w14:solidFill>
          </w14:textFill>
        </w:rPr>
        <w:t>材料</w:t>
      </w:r>
      <w:r>
        <w:rPr>
          <w:rFonts w:hint="eastAsia" w:ascii="仿宋" w:hAnsi="仿宋" w:eastAsia="仿宋"/>
          <w:color w:val="000000" w:themeColor="text1"/>
          <w:sz w:val="24"/>
          <w:szCs w:val="24"/>
          <w:highlight w:val="none"/>
          <w:lang w:val="hr-HR"/>
          <w14:textFill>
            <w14:solidFill>
              <w14:schemeClr w14:val="tx1"/>
            </w14:solidFill>
          </w14:textFill>
        </w:rPr>
        <w:t>仓库，</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需配备常用施工器械设备、工具、及维修材料（常用管材、线材等）</w:t>
      </w:r>
      <w:r>
        <w:rPr>
          <w:rFonts w:hint="eastAsia"/>
          <w:color w:val="000000" w:themeColor="text1"/>
          <w:sz w:val="24"/>
          <w:szCs w:val="24"/>
          <w:highlight w:val="none"/>
          <w:lang w:val="hr-HR"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常用配件等。中标人</w:t>
      </w:r>
      <w:r>
        <w:rPr>
          <w:rFonts w:hint="eastAsia"/>
          <w:color w:val="000000" w:themeColor="text1"/>
          <w:sz w:val="24"/>
          <w:szCs w:val="24"/>
          <w:highlight w:val="none"/>
          <w:lang w:val="hr-HR" w:eastAsia="zh-CN"/>
          <w14:textFill>
            <w14:solidFill>
              <w14:schemeClr w14:val="tx1"/>
            </w14:solidFill>
          </w14:textFill>
        </w:rPr>
        <w:t>应指派一名固定的现场项目仓管人员，</w:t>
      </w:r>
      <w:r>
        <w:rPr>
          <w:rFonts w:hint="eastAsia"/>
          <w:color w:val="000000" w:themeColor="text1"/>
          <w:sz w:val="24"/>
          <w:szCs w:val="24"/>
          <w:highlight w:val="none"/>
          <w:lang w:val="en-US" w:eastAsia="zh-CN"/>
          <w14:textFill>
            <w14:solidFill>
              <w14:schemeClr w14:val="tx1"/>
            </w14:solidFill>
          </w14:textFill>
        </w:rPr>
        <w:t>负责</w:t>
      </w:r>
      <w:r>
        <w:rPr>
          <w:rFonts w:hint="eastAsia"/>
          <w:color w:val="000000" w:themeColor="text1"/>
          <w:sz w:val="24"/>
          <w:szCs w:val="24"/>
          <w:highlight w:val="none"/>
          <w:lang w:val="hr-HR" w:eastAsia="zh-CN"/>
          <w14:textFill>
            <w14:solidFill>
              <w14:schemeClr w14:val="tx1"/>
            </w14:solidFill>
          </w14:textFill>
        </w:rPr>
        <w:t>场地安全管理，</w:t>
      </w:r>
      <w:r>
        <w:rPr>
          <w:rFonts w:hint="eastAsia"/>
          <w:color w:val="000000" w:themeColor="text1"/>
          <w:sz w:val="24"/>
          <w:szCs w:val="24"/>
          <w:highlight w:val="none"/>
          <w:lang w:val="en-US" w:eastAsia="zh-CN"/>
          <w14:textFill>
            <w14:solidFill>
              <w14:schemeClr w14:val="tx1"/>
            </w14:solidFill>
          </w14:textFill>
        </w:rPr>
        <w:t>应</w:t>
      </w:r>
      <w:r>
        <w:rPr>
          <w:rFonts w:hint="eastAsia"/>
          <w:color w:val="000000" w:themeColor="text1"/>
          <w:sz w:val="24"/>
          <w:szCs w:val="24"/>
          <w:highlight w:val="none"/>
          <w:lang w:val="hr-HR" w:eastAsia="zh-CN"/>
          <w14:textFill>
            <w14:solidFill>
              <w14:schemeClr w14:val="tx1"/>
            </w14:solidFill>
          </w14:textFill>
        </w:rPr>
        <w:t>满足</w:t>
      </w:r>
      <w:r>
        <w:rPr>
          <w:rFonts w:hint="eastAsia"/>
          <w:color w:val="000000" w:themeColor="text1"/>
          <w:sz w:val="24"/>
          <w:szCs w:val="24"/>
          <w:highlight w:val="none"/>
          <w:lang w:val="en-US" w:eastAsia="zh-CN"/>
          <w14:textFill>
            <w14:solidFill>
              <w14:schemeClr w14:val="tx1"/>
            </w14:solidFill>
          </w14:textFill>
        </w:rPr>
        <w:t>采购人</w:t>
      </w:r>
      <w:r>
        <w:rPr>
          <w:rFonts w:hint="eastAsia"/>
          <w:color w:val="000000" w:themeColor="text1"/>
          <w:sz w:val="24"/>
          <w:szCs w:val="24"/>
          <w:highlight w:val="none"/>
          <w:lang w:val="hr-HR" w:eastAsia="zh-CN"/>
          <w14:textFill>
            <w14:solidFill>
              <w14:schemeClr w14:val="tx1"/>
            </w14:solidFill>
          </w14:textFill>
        </w:rPr>
        <w:t>相关管理部门要求，</w:t>
      </w:r>
      <w:r>
        <w:rPr>
          <w:rFonts w:hint="eastAsia"/>
          <w:color w:val="000000" w:themeColor="text1"/>
          <w:sz w:val="24"/>
          <w:szCs w:val="24"/>
          <w:highlight w:val="none"/>
          <w:lang w:val="en-US" w:eastAsia="zh-CN"/>
          <w14:textFill>
            <w14:solidFill>
              <w14:schemeClr w14:val="tx1"/>
            </w14:solidFill>
          </w14:textFill>
        </w:rPr>
        <w:t>施工器具、</w:t>
      </w:r>
      <w:r>
        <w:rPr>
          <w:rFonts w:hint="eastAsia"/>
          <w:color w:val="000000" w:themeColor="text1"/>
          <w:sz w:val="24"/>
          <w:szCs w:val="24"/>
          <w:highlight w:val="none"/>
          <w:lang w:val="hr-HR" w:eastAsia="zh-CN"/>
          <w14:textFill>
            <w14:solidFill>
              <w14:schemeClr w14:val="tx1"/>
            </w14:solidFill>
          </w14:textFill>
        </w:rPr>
        <w:t>材料</w:t>
      </w:r>
      <w:r>
        <w:rPr>
          <w:rFonts w:hint="eastAsia"/>
          <w:color w:val="000000" w:themeColor="text1"/>
          <w:sz w:val="24"/>
          <w:szCs w:val="24"/>
          <w:highlight w:val="none"/>
          <w:lang w:val="en-US" w:eastAsia="zh-CN"/>
          <w14:textFill>
            <w14:solidFill>
              <w14:schemeClr w14:val="tx1"/>
            </w14:solidFill>
          </w14:textFill>
        </w:rPr>
        <w:t>应</w:t>
      </w:r>
      <w:r>
        <w:rPr>
          <w:rFonts w:hint="eastAsia"/>
          <w:color w:val="000000" w:themeColor="text1"/>
          <w:sz w:val="24"/>
          <w:szCs w:val="24"/>
          <w:highlight w:val="none"/>
          <w:lang w:val="hr-HR" w:eastAsia="zh-CN"/>
          <w14:textFill>
            <w14:solidFill>
              <w14:schemeClr w14:val="tx1"/>
            </w14:solidFill>
          </w14:textFill>
        </w:rPr>
        <w:t>规范堆放，</w:t>
      </w:r>
      <w:r>
        <w:rPr>
          <w:rFonts w:hint="eastAsia"/>
          <w:color w:val="000000" w:themeColor="text1"/>
          <w:sz w:val="24"/>
          <w:szCs w:val="24"/>
          <w:highlight w:val="none"/>
          <w:lang w:val="en-US" w:eastAsia="zh-CN"/>
          <w14:textFill>
            <w14:solidFill>
              <w14:schemeClr w14:val="tx1"/>
            </w14:solidFill>
          </w14:textFill>
        </w:rPr>
        <w:t>保障仓库安全</w:t>
      </w:r>
      <w:r>
        <w:rPr>
          <w:rFonts w:hint="eastAsia" w:ascii="仿宋" w:hAnsi="仿宋" w:eastAsia="仿宋"/>
          <w:color w:val="000000" w:themeColor="text1"/>
          <w:sz w:val="24"/>
          <w:szCs w:val="24"/>
          <w:highlight w:val="none"/>
          <w:lang w:val="hr-HR"/>
          <w14:textFill>
            <w14:solidFill>
              <w14:schemeClr w14:val="tx1"/>
            </w14:solidFill>
          </w14:textFill>
        </w:rPr>
        <w:t>。</w:t>
      </w:r>
    </w:p>
    <w:p w14:paraId="10862A4E">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 xml:space="preserve">3.12 </w:t>
      </w:r>
      <w:r>
        <w:rPr>
          <w:rFonts w:hint="eastAsia"/>
          <w:color w:val="000000" w:themeColor="text1"/>
          <w:sz w:val="24"/>
          <w:szCs w:val="24"/>
          <w:highlight w:val="none"/>
          <w:lang w:val="en-US" w:eastAsia="zh-CN"/>
          <w14:textFill>
            <w14:solidFill>
              <w14:schemeClr w14:val="tx1"/>
            </w14:solidFill>
          </w14:textFill>
        </w:rPr>
        <w:t>中标人应结合</w:t>
      </w:r>
      <w:r>
        <w:rPr>
          <w:rFonts w:hint="eastAsia" w:ascii="仿宋" w:hAnsi="仿宋" w:eastAsia="仿宋"/>
          <w:color w:val="000000" w:themeColor="text1"/>
          <w:sz w:val="24"/>
          <w:szCs w:val="24"/>
          <w:highlight w:val="none"/>
          <w:lang w:val="hr-HR"/>
          <w14:textFill>
            <w14:solidFill>
              <w14:schemeClr w14:val="tx1"/>
            </w14:solidFill>
          </w14:textFill>
        </w:rPr>
        <w:t>施工现场的实际情况</w:t>
      </w:r>
      <w:r>
        <w:rPr>
          <w:rFonts w:hint="eastAsia"/>
          <w:color w:val="000000" w:themeColor="text1"/>
          <w:sz w:val="24"/>
          <w:szCs w:val="24"/>
          <w:highlight w:val="none"/>
          <w:lang w:val="en-US" w:eastAsia="zh-CN"/>
          <w14:textFill>
            <w14:solidFill>
              <w14:schemeClr w14:val="tx1"/>
            </w14:solidFill>
          </w14:textFill>
        </w:rPr>
        <w:t>制定</w:t>
      </w:r>
      <w:r>
        <w:rPr>
          <w:rFonts w:hint="eastAsia" w:ascii="仿宋" w:hAnsi="仿宋" w:eastAsia="仿宋"/>
          <w:color w:val="000000" w:themeColor="text1"/>
          <w:sz w:val="24"/>
          <w:szCs w:val="24"/>
          <w:highlight w:val="none"/>
          <w:lang w:val="hr-HR"/>
          <w14:textFill>
            <w14:solidFill>
              <w14:schemeClr w14:val="tx1"/>
            </w14:solidFill>
          </w14:textFill>
        </w:rPr>
        <w:t>施工方案，施工方案应</w:t>
      </w:r>
      <w:r>
        <w:rPr>
          <w:rFonts w:hint="eastAsia"/>
          <w:color w:val="000000" w:themeColor="text1"/>
          <w:sz w:val="24"/>
          <w:szCs w:val="24"/>
          <w:highlight w:val="none"/>
          <w:lang w:val="en-US" w:eastAsia="zh-CN"/>
          <w14:textFill>
            <w14:solidFill>
              <w14:schemeClr w14:val="tx1"/>
            </w14:solidFill>
          </w14:textFill>
        </w:rPr>
        <w:t>充分</w:t>
      </w:r>
      <w:r>
        <w:rPr>
          <w:rFonts w:hint="eastAsia" w:ascii="仿宋" w:hAnsi="仿宋" w:eastAsia="仿宋"/>
          <w:color w:val="000000" w:themeColor="text1"/>
          <w:sz w:val="24"/>
          <w:szCs w:val="24"/>
          <w:highlight w:val="none"/>
          <w:lang w:val="hr-HR"/>
          <w14:textFill>
            <w14:solidFill>
              <w14:schemeClr w14:val="tx1"/>
            </w14:solidFill>
          </w14:textFill>
        </w:rPr>
        <w:t>考虑医院正常运行、病人安全和个人隐私的需要,并可分阶段实施。施工中因施工方案及施工措施所引起的费用由</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负责。</w:t>
      </w:r>
    </w:p>
    <w:p w14:paraId="5090C123">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 xml:space="preserve">3.13 </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采购的所有材料、设备均应达到国家规范“合格”标准以上。发现不合格材料、设备用于本工程中，</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应无条件返工且所产生的一切费用由</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自理。</w:t>
      </w:r>
    </w:p>
    <w:p w14:paraId="65EED043">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 xml:space="preserve">3.14 </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负责工程所需设备、材料和工具等物质的全部运输，包括装卸车、货物现场的搬运。</w:t>
      </w:r>
    </w:p>
    <w:p w14:paraId="31399A3A">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3.15 主要材料使用要求：</w:t>
      </w:r>
    </w:p>
    <w:p w14:paraId="3367F70E">
      <w:pPr>
        <w:pStyle w:val="7"/>
        <w:rPr>
          <w:rFonts w:hint="eastAsia"/>
          <w:color w:val="000000" w:themeColor="text1"/>
          <w:sz w:val="24"/>
          <w:szCs w:val="24"/>
          <w:highlight w:val="none"/>
          <w:lang w:val="hr-HR" w:eastAsia="zh-CN"/>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（1）采购范围之内工程所用之材料，由</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自行采购，但应满足</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《主要材料推荐品牌表》（详见附件）。</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应</w:t>
      </w:r>
      <w:r>
        <w:rPr>
          <w:rFonts w:hint="eastAsia"/>
          <w:color w:val="000000" w:themeColor="text1"/>
          <w:sz w:val="24"/>
          <w:szCs w:val="24"/>
          <w:highlight w:val="none"/>
          <w:lang w:val="en-US" w:eastAsia="zh-CN"/>
          <w14:textFill>
            <w14:solidFill>
              <w14:schemeClr w14:val="tx1"/>
            </w14:solidFill>
          </w14:textFill>
        </w:rPr>
        <w:t>优先</w:t>
      </w:r>
      <w:r>
        <w:rPr>
          <w:rFonts w:hint="eastAsia" w:ascii="仿宋" w:hAnsi="仿宋" w:eastAsia="仿宋"/>
          <w:color w:val="000000" w:themeColor="text1"/>
          <w:sz w:val="24"/>
          <w:szCs w:val="24"/>
          <w:highlight w:val="none"/>
          <w:lang w:val="hr-HR"/>
          <w14:textFill>
            <w14:solidFill>
              <w14:schemeClr w14:val="tx1"/>
            </w14:solidFill>
          </w14:textFill>
        </w:rPr>
        <w:t>使用推荐品牌，因现场特殊情况不能使用推荐品牌的，需经过</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审批同意，验收时</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可视情况要求</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提供与供货商签订的供货合同。出示的所有验收资料须足以证明</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采购的材料是符合</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要求且用于本项目。</w:t>
      </w:r>
      <w:r>
        <w:rPr>
          <w:rFonts w:hint="eastAsia"/>
          <w:color w:val="000000" w:themeColor="text1"/>
          <w:sz w:val="24"/>
          <w:szCs w:val="24"/>
          <w:highlight w:val="none"/>
          <w:lang w:val="en-US" w:eastAsia="zh-CN"/>
          <w14:textFill>
            <w14:solidFill>
              <w14:schemeClr w14:val="tx1"/>
            </w14:solidFill>
          </w14:textFill>
        </w:rPr>
        <w:t>对于</w:t>
      </w:r>
      <w:r>
        <w:rPr>
          <w:rFonts w:hint="eastAsia" w:ascii="仿宋" w:hAnsi="仿宋" w:eastAsia="仿宋"/>
          <w:color w:val="000000" w:themeColor="text1"/>
          <w:sz w:val="24"/>
          <w:szCs w:val="24"/>
          <w:highlight w:val="none"/>
          <w:lang w:val="hr-HR"/>
          <w14:textFill>
            <w14:solidFill>
              <w14:schemeClr w14:val="tx1"/>
            </w14:solidFill>
          </w14:textFill>
        </w:rPr>
        <w:t>较大批量采购材料需要进行入场集中验收（如：水泥，胶合板，埃特板，轻钢龙骨，各类线管，油漆，铝扣板天花，地板胶等）</w:t>
      </w:r>
      <w:r>
        <w:rPr>
          <w:rFonts w:hint="eastAsia"/>
          <w:color w:val="000000" w:themeColor="text1"/>
          <w:sz w:val="24"/>
          <w:szCs w:val="24"/>
          <w:highlight w:val="none"/>
          <w:lang w:val="hr-HR" w:eastAsia="zh-CN"/>
          <w14:textFill>
            <w14:solidFill>
              <w14:schemeClr w14:val="tx1"/>
            </w14:solidFill>
          </w14:textFill>
        </w:rPr>
        <w:t>。</w:t>
      </w:r>
    </w:p>
    <w:p w14:paraId="3B5D7C59">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（2）设备、材料和工具等物质在施工现场的保管由</w:t>
      </w:r>
      <w:r>
        <w:rPr>
          <w:rFonts w:hint="eastAsia"/>
          <w:color w:val="000000" w:themeColor="text1"/>
          <w:sz w:val="24"/>
          <w:szCs w:val="24"/>
          <w:highlight w:val="none"/>
          <w:lang w:val="en-US"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自行负责，直至项目施工、安装、验收完毕为止。</w:t>
      </w:r>
    </w:p>
    <w:p w14:paraId="181CB6C0">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（3）设备、材料和工具等物质在安装调试验收合格前的保险由</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负责，</w:t>
      </w:r>
      <w:r>
        <w:rPr>
          <w:rFonts w:hint="eastAsia"/>
          <w:color w:val="000000" w:themeColor="text1"/>
          <w:sz w:val="24"/>
          <w:szCs w:val="24"/>
          <w:highlight w:val="none"/>
          <w:lang w:val="hr-HR" w:eastAsia="zh-CN"/>
          <w14:textFill>
            <w14:solidFill>
              <w14:schemeClr w14:val="tx1"/>
            </w14:solidFill>
          </w14:textFill>
        </w:rPr>
        <w:t>中标人</w:t>
      </w:r>
      <w:r>
        <w:rPr>
          <w:rFonts w:hint="eastAsia" w:ascii="仿宋" w:hAnsi="仿宋" w:eastAsia="仿宋"/>
          <w:color w:val="000000" w:themeColor="text1"/>
          <w:sz w:val="24"/>
          <w:szCs w:val="24"/>
          <w:highlight w:val="none"/>
          <w:lang w:val="hr-HR"/>
          <w14:textFill>
            <w14:solidFill>
              <w14:schemeClr w14:val="tx1"/>
            </w14:solidFill>
          </w14:textFill>
        </w:rPr>
        <w:t>负责其派出的现场服务人员人身意外保险。</w:t>
      </w:r>
    </w:p>
    <w:p w14:paraId="53DD64D4">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（4）</w:t>
      </w:r>
      <w:r>
        <w:rPr>
          <w:rFonts w:hint="eastAsia"/>
          <w:color w:val="000000" w:themeColor="text1"/>
          <w:sz w:val="24"/>
          <w:szCs w:val="24"/>
          <w:highlight w:val="none"/>
          <w:lang w:val="hr-HR" w:eastAsia="zh-CN"/>
          <w14:textFill>
            <w14:solidFill>
              <w14:schemeClr w14:val="tx1"/>
            </w14:solidFill>
          </w14:textFill>
        </w:rPr>
        <w:t>采购人</w:t>
      </w:r>
      <w:r>
        <w:rPr>
          <w:rFonts w:hint="eastAsia" w:ascii="仿宋" w:hAnsi="仿宋" w:eastAsia="仿宋"/>
          <w:color w:val="000000" w:themeColor="text1"/>
          <w:sz w:val="24"/>
          <w:szCs w:val="24"/>
          <w:highlight w:val="none"/>
          <w:lang w:val="hr-HR"/>
          <w14:textFill>
            <w14:solidFill>
              <w14:schemeClr w14:val="tx1"/>
            </w14:solidFill>
          </w14:textFill>
        </w:rPr>
        <w:t>保留对本工程使用之主要材料品质确认审查的权利。</w:t>
      </w:r>
    </w:p>
    <w:p w14:paraId="6356BD93">
      <w:pPr>
        <w:pStyle w:val="7"/>
        <w:rPr>
          <w:rFonts w:hint="eastAsia" w:ascii="仿宋" w:hAnsi="仿宋" w:eastAsia="仿宋"/>
          <w:color w:val="000000" w:themeColor="text1"/>
          <w:sz w:val="24"/>
          <w:szCs w:val="24"/>
          <w:highlight w:val="none"/>
          <w:lang w:val="hr-HR"/>
          <w14:textFill>
            <w14:solidFill>
              <w14:schemeClr w14:val="tx1"/>
            </w14:solidFill>
          </w14:textFill>
        </w:rPr>
      </w:pPr>
      <w:r>
        <w:rPr>
          <w:rFonts w:hint="eastAsia" w:ascii="仿宋" w:hAnsi="仿宋" w:eastAsia="仿宋"/>
          <w:color w:val="000000" w:themeColor="text1"/>
          <w:sz w:val="24"/>
          <w:szCs w:val="24"/>
          <w:highlight w:val="none"/>
          <w:lang w:val="hr-HR"/>
          <w14:textFill>
            <w14:solidFill>
              <w14:schemeClr w14:val="tx1"/>
            </w14:solidFill>
          </w14:textFill>
        </w:rPr>
        <w:t xml:space="preserve">3.16 </w:t>
      </w:r>
    </w:p>
    <w:p w14:paraId="25311BAA">
      <w:pPr>
        <w:pStyle w:val="7"/>
        <w:pBdr>
          <w:bottom w:val="none" w:color="auto" w:sz="0" w:space="0"/>
        </w:pBd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第四条：工期</w:t>
      </w:r>
      <w:r>
        <w:rPr>
          <w:rFonts w:hint="eastAsia"/>
          <w:color w:val="000000" w:themeColor="text1"/>
          <w:highlight w:val="none"/>
          <w:lang w:val="en-US" w:eastAsia="zh-CN"/>
          <w14:textFill>
            <w14:solidFill>
              <w14:schemeClr w14:val="tx1"/>
            </w14:solidFill>
          </w14:textFill>
        </w:rPr>
        <w:t>要求</w:t>
      </w:r>
    </w:p>
    <w:p w14:paraId="7EC600CA">
      <w:pPr>
        <w:pStyle w:val="5"/>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4.1 </w:t>
      </w:r>
      <w:r>
        <w:rPr>
          <w:rFonts w:hint="eastAsia"/>
          <w:color w:val="000000" w:themeColor="text1"/>
          <w:highlight w:val="none"/>
          <w:lang w:val="en-US" w:eastAsia="zh-CN"/>
          <w14:textFill>
            <w14:solidFill>
              <w14:schemeClr w14:val="tx1"/>
            </w14:solidFill>
          </w14:textFill>
        </w:rPr>
        <w:t>在单项项目开工前，双方应根据实际情况约定工期，并在项目台账登记开工时间及工期要求。</w:t>
      </w:r>
    </w:p>
    <w:p w14:paraId="4BC7B4DD">
      <w:pPr>
        <w:pStyle w:val="5"/>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4.2 因采购人未按约定完成工作，影响工期，中标人应及时申请且得到采购人认可的工期顺延。</w:t>
      </w:r>
    </w:p>
    <w:p w14:paraId="0EBDC1ED">
      <w:pPr>
        <w:pStyle w:val="5"/>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4.3 </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要求比合同约定的工期提前竣工时，应征得</w:t>
      </w:r>
      <w:r>
        <w:rPr>
          <w:rFonts w:hint="eastAsia"/>
          <w:color w:val="000000" w:themeColor="text1"/>
          <w:highlight w:val="none"/>
          <w:lang w:eastAsia="zh-CN"/>
          <w14:textFill>
            <w14:solidFill>
              <w14:schemeClr w14:val="tx1"/>
            </w14:solidFill>
          </w14:textFill>
        </w:rPr>
        <w:t>中标人</w:t>
      </w:r>
      <w:r>
        <w:rPr>
          <w:rFonts w:hint="eastAsia"/>
          <w:color w:val="000000" w:themeColor="text1"/>
          <w:highlight w:val="none"/>
          <w14:textFill>
            <w14:solidFill>
              <w14:schemeClr w14:val="tx1"/>
            </w14:solidFill>
          </w14:textFill>
        </w:rPr>
        <w:t>同意，不增加费用。</w:t>
      </w:r>
    </w:p>
    <w:p w14:paraId="1AC6FCA0">
      <w:pPr>
        <w:pStyle w:val="5"/>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 xml:space="preserve"> 因非</w:t>
      </w:r>
      <w:r>
        <w:rPr>
          <w:rFonts w:hint="eastAsia"/>
          <w:color w:val="000000" w:themeColor="text1"/>
          <w:highlight w:val="none"/>
          <w:lang w:eastAsia="zh-CN"/>
          <w14:textFill>
            <w14:solidFill>
              <w14:schemeClr w14:val="tx1"/>
            </w14:solidFill>
          </w14:textFill>
        </w:rPr>
        <w:t>中标人</w:t>
      </w:r>
      <w:r>
        <w:rPr>
          <w:rFonts w:hint="eastAsia"/>
          <w:color w:val="000000" w:themeColor="text1"/>
          <w:highlight w:val="none"/>
          <w14:textFill>
            <w14:solidFill>
              <w14:schemeClr w14:val="tx1"/>
            </w14:solidFill>
          </w14:textFill>
        </w:rPr>
        <w:t>原因造成的停电、停水、停气及不可抗力因数影响，导致停工2小时以上（周一至周五），周六周日停工4小时以上工期相应顺延。</w:t>
      </w:r>
    </w:p>
    <w:p w14:paraId="6AD5BAE3">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 xml:space="preserve"> 因施工方原因，不能按期开工或中途无故停工、返工而影响工期，工期不顺延。</w:t>
      </w:r>
    </w:p>
    <w:p w14:paraId="620B6B7D">
      <w:pPr>
        <w:pStyle w:val="2"/>
        <w:bidi w:val="0"/>
        <w:rPr>
          <w:rFonts w:hint="default" w:eastAsia="仿宋"/>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条：</w:t>
      </w:r>
      <w:r>
        <w:rPr>
          <w:rFonts w:hint="eastAsia"/>
          <w:color w:val="000000" w:themeColor="text1"/>
          <w:highlight w:val="none"/>
          <w:lang w:val="en-US" w:eastAsia="zh-CN"/>
          <w14:textFill>
            <w14:solidFill>
              <w14:schemeClr w14:val="tx1"/>
            </w14:solidFill>
          </w14:textFill>
        </w:rPr>
        <w:t>工程管理及验收要求</w:t>
      </w:r>
    </w:p>
    <w:p w14:paraId="797167CF">
      <w:pPr>
        <w:pStyle w:val="5"/>
        <w:bidi w:val="0"/>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本工程以国家现行标准为准，工程质量应达到国家质量评定合格标准。</w:t>
      </w:r>
    </w:p>
    <w:p w14:paraId="087B06E6">
      <w:pPr>
        <w:widowControl/>
        <w:ind w:firstLine="482" w:firstLineChars="200"/>
        <w:rPr>
          <w:rFonts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5</w:t>
      </w:r>
      <w:r>
        <w:rPr>
          <w:rFonts w:hint="eastAsia" w:cs="仿宋"/>
          <w:b/>
          <w:bCs/>
          <w:color w:val="000000" w:themeColor="text1"/>
          <w:kern w:val="0"/>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Cs w:val="21"/>
          <w:highlight w:val="none"/>
          <w14:textFill>
            <w14:solidFill>
              <w14:schemeClr w14:val="tx1"/>
            </w14:solidFill>
          </w14:textFill>
        </w:rPr>
        <w:t xml:space="preserve"> 工程施工过程管理</w:t>
      </w:r>
    </w:p>
    <w:p w14:paraId="155577F3">
      <w:pPr>
        <w:widowControl/>
        <w:ind w:firstLine="482" w:firstLineChars="200"/>
        <w:rPr>
          <w:rFonts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5.</w:t>
      </w:r>
      <w:r>
        <w:rPr>
          <w:rFonts w:hint="eastAsia" w:cs="仿宋"/>
          <w:b/>
          <w:bCs/>
          <w:color w:val="000000" w:themeColor="text1"/>
          <w:kern w:val="0"/>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Cs w:val="21"/>
          <w:highlight w:val="none"/>
          <w14:textFill>
            <w14:solidFill>
              <w14:schemeClr w14:val="tx1"/>
            </w14:solidFill>
          </w14:textFill>
        </w:rPr>
        <w:t>.1 开工管理</w:t>
      </w:r>
    </w:p>
    <w:p w14:paraId="07C8D07B">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项目需获得职能科室出具的项目立项派工单后，方可进场开工，并由此计算施工工期。施工</w:t>
      </w:r>
      <w:r>
        <w:rPr>
          <w:rFonts w:hint="eastAsia" w:cs="仿宋"/>
          <w:color w:val="000000" w:themeColor="text1"/>
          <w:kern w:val="0"/>
          <w:szCs w:val="21"/>
          <w:highlight w:val="none"/>
          <w:lang w:val="en-US" w:eastAsia="zh-CN"/>
          <w14:textFill>
            <w14:solidFill>
              <w14:schemeClr w14:val="tx1"/>
            </w14:solidFill>
          </w14:textFill>
        </w:rPr>
        <w:t>方案</w:t>
      </w:r>
      <w:r>
        <w:rPr>
          <w:rFonts w:hint="eastAsia" w:ascii="仿宋" w:hAnsi="仿宋" w:eastAsia="仿宋" w:cs="仿宋"/>
          <w:color w:val="000000" w:themeColor="text1"/>
          <w:kern w:val="0"/>
          <w:szCs w:val="21"/>
          <w:highlight w:val="none"/>
          <w14:textFill>
            <w14:solidFill>
              <w14:schemeClr w14:val="tx1"/>
            </w14:solidFill>
          </w14:textFill>
        </w:rPr>
        <w:t>须经</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组织详细审查后方可施工，尤其是影响较大、施工较复杂、工艺较特殊的工程项目，除</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职能科室、使用单位及相关专家进行</w:t>
      </w:r>
      <w:r>
        <w:rPr>
          <w:rFonts w:hint="eastAsia" w:cs="仿宋"/>
          <w:color w:val="000000" w:themeColor="text1"/>
          <w:kern w:val="0"/>
          <w:szCs w:val="21"/>
          <w:highlight w:val="none"/>
          <w:lang w:val="en-US" w:eastAsia="zh-CN"/>
          <w14:textFill>
            <w14:solidFill>
              <w14:schemeClr w14:val="tx1"/>
            </w14:solidFill>
          </w14:textFill>
        </w:rPr>
        <w:t>方案</w:t>
      </w:r>
      <w:r>
        <w:rPr>
          <w:rFonts w:hint="eastAsia" w:ascii="仿宋" w:hAnsi="仿宋" w:eastAsia="仿宋" w:cs="仿宋"/>
          <w:color w:val="000000" w:themeColor="text1"/>
          <w:kern w:val="0"/>
          <w:szCs w:val="21"/>
          <w:highlight w:val="none"/>
          <w14:textFill>
            <w14:solidFill>
              <w14:schemeClr w14:val="tx1"/>
            </w14:solidFill>
          </w14:textFill>
        </w:rPr>
        <w:t>会审外，必要时可请第三方单位会审。</w:t>
      </w:r>
    </w:p>
    <w:p w14:paraId="7DB840C6">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使用科室搬迁及清空施工场地后，</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不得擅自拆除或搬运</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的设备及家具。能够再利用的材料等资产，应由</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项目负责人须通知物业管理科、设备科、保卫科、物流科、信息科、中心办公室及时拆除有用设备或物资；待以上科室确认已全部拆除完毕后，剩余物资由</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项目负责人书面通知施工单位清理。</w:t>
      </w:r>
    </w:p>
    <w:p w14:paraId="3300FC8D">
      <w:pPr>
        <w:widowControl/>
        <w:ind w:firstLine="482" w:firstLineChars="200"/>
        <w:rPr>
          <w:rFonts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5.2.</w:t>
      </w:r>
      <w:r>
        <w:rPr>
          <w:rFonts w:ascii="仿宋" w:hAnsi="仿宋" w:eastAsia="仿宋" w:cs="仿宋"/>
          <w:b/>
          <w:color w:val="000000" w:themeColor="text1"/>
          <w:kern w:val="0"/>
          <w:szCs w:val="21"/>
          <w:highlight w:val="none"/>
          <w14:textFill>
            <w14:solidFill>
              <w14:schemeClr w14:val="tx1"/>
            </w14:solidFill>
          </w14:textFill>
        </w:rPr>
        <w:t>2</w:t>
      </w:r>
      <w:r>
        <w:rPr>
          <w:rFonts w:hint="eastAsia" w:ascii="仿宋" w:hAnsi="仿宋" w:eastAsia="仿宋" w:cs="仿宋"/>
          <w:b/>
          <w:color w:val="000000" w:themeColor="text1"/>
          <w:kern w:val="0"/>
          <w:szCs w:val="21"/>
          <w:highlight w:val="none"/>
          <w14:textFill>
            <w14:solidFill>
              <w14:schemeClr w14:val="tx1"/>
            </w14:solidFill>
          </w14:textFill>
        </w:rPr>
        <w:t xml:space="preserve"> 施工管理</w:t>
      </w:r>
    </w:p>
    <w:p w14:paraId="1AF462E9">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范围内的设计、施工工艺、设备及材料的选择都应具有先进性，并满足现代化医院的使用功能、安全舒适、节能环保要求。设备及工艺的安排应具有先进性、高可靠性、实用性、经济性与合理性。全部技术指标，包括设备、材料、包装、运输、安装、调试、维修等各项目技术参数，必须符合《工程施工质量验收规范》、磋商文件及国家规范的相关要求。</w:t>
      </w:r>
    </w:p>
    <w:p w14:paraId="6B812119">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施工期间为保障运营的安全正常进行，施工前须对施工区域进行围蔽，并对周转设备进行必要的安全及卫生防护。打凿、钻孔等噪音大的工作应尽量选择周末和节假日休息时间，并提前与有关科室做好协调工作。由于施工不当造成的损失由</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负责并承担损失。</w:t>
      </w:r>
    </w:p>
    <w:p w14:paraId="57D3AD16">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越秀院区工作时间为8：00-17：30，黄埔院区工作时间为8：30-16：30，为了保证医疗工作其间设备的正常运行，需在6：30前恢复所有场所至正常状态,并做好环境卫生。在12:00-14:30/12:00-13:30及22:00-7:00时间段，未经采购人许可，不得进行噪音作业。</w:t>
      </w:r>
    </w:p>
    <w:p w14:paraId="6E1CEF83">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3、给排水、电气等系统的接驳点在大楼层间的配电间、水管井内（详见大楼图纸），</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接驳前需与</w:t>
      </w:r>
      <w:r>
        <w:rPr>
          <w:rFonts w:hint="eastAsia" w:cs="仿宋"/>
          <w:color w:val="000000" w:themeColor="text1"/>
          <w:kern w:val="0"/>
          <w:szCs w:val="21"/>
          <w:highlight w:val="none"/>
          <w:lang w:val="en-US"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有关部门做好协调，在采购人指定地点接驳水、电位，并做好清晰标识。</w:t>
      </w:r>
    </w:p>
    <w:p w14:paraId="23BF7DC7">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4、语音网络交换设备、有线电视分支分配器箱由</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提供。网络、电话系统等管线的敷设与跳线应服从采购人信息中心、主管科室及中心办公室的要求。</w:t>
      </w:r>
    </w:p>
    <w:p w14:paraId="6284E75B">
      <w:pPr>
        <w:widowControl/>
        <w:numPr>
          <w:ilvl w:val="-1"/>
          <w:numId w:val="0"/>
        </w:numPr>
        <w:ind w:left="0"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kern w:val="0"/>
          <w:szCs w:val="21"/>
          <w:highlight w:val="none"/>
          <w14:textFill>
            <w14:solidFill>
              <w14:schemeClr w14:val="tx1"/>
            </w14:solidFill>
          </w14:textFill>
        </w:rPr>
        <w:t>施工</w:t>
      </w:r>
      <w:r>
        <w:rPr>
          <w:rFonts w:hint="eastAsia" w:cs="仿宋"/>
          <w:color w:val="000000" w:themeColor="text1"/>
          <w:kern w:val="0"/>
          <w:szCs w:val="21"/>
          <w:highlight w:val="none"/>
          <w:lang w:val="en-US" w:eastAsia="zh-CN"/>
          <w14:textFill>
            <w14:solidFill>
              <w14:schemeClr w14:val="tx1"/>
            </w14:solidFill>
          </w14:textFill>
        </w:rPr>
        <w:t>完成后，中标人应</w:t>
      </w:r>
      <w:r>
        <w:rPr>
          <w:rFonts w:hint="eastAsia" w:ascii="仿宋" w:hAnsi="仿宋" w:eastAsia="仿宋" w:cs="仿宋"/>
          <w:color w:val="000000" w:themeColor="text1"/>
          <w:kern w:val="0"/>
          <w:szCs w:val="21"/>
          <w:highlight w:val="none"/>
          <w14:textFill>
            <w14:solidFill>
              <w14:schemeClr w14:val="tx1"/>
            </w14:solidFill>
          </w14:textFill>
        </w:rPr>
        <w:t>工作面进行粗清洁</w:t>
      </w:r>
      <w:r>
        <w:rPr>
          <w:rFonts w:hint="eastAsia" w:cs="仿宋"/>
          <w:color w:val="000000" w:themeColor="text1"/>
          <w:kern w:val="0"/>
          <w:szCs w:val="21"/>
          <w:highlight w:val="none"/>
          <w:lang w:eastAsia="zh-CN"/>
          <w14:textFill>
            <w14:solidFill>
              <w14:schemeClr w14:val="tx1"/>
            </w14:solidFill>
          </w14:textFill>
        </w:rPr>
        <w:t>，</w:t>
      </w:r>
      <w:r>
        <w:rPr>
          <w:rFonts w:hint="eastAsia" w:cs="仿宋"/>
          <w:color w:val="000000" w:themeColor="text1"/>
          <w:kern w:val="0"/>
          <w:szCs w:val="21"/>
          <w:highlight w:val="none"/>
          <w:lang w:val="en-US" w:eastAsia="zh-CN"/>
          <w14:textFill>
            <w14:solidFill>
              <w14:schemeClr w14:val="tx1"/>
            </w14:solidFill>
          </w14:textFill>
        </w:rPr>
        <w:t>不得影响采购人工作</w:t>
      </w:r>
      <w:r>
        <w:rPr>
          <w:rFonts w:hint="eastAsia" w:ascii="仿宋" w:hAnsi="仿宋" w:eastAsia="仿宋" w:cs="仿宋"/>
          <w:color w:val="000000" w:themeColor="text1"/>
          <w:kern w:val="0"/>
          <w:szCs w:val="21"/>
          <w:highlight w:val="none"/>
          <w14:textFill>
            <w14:solidFill>
              <w14:schemeClr w14:val="tx1"/>
            </w14:solidFill>
          </w14:textFill>
        </w:rPr>
        <w:t>。</w:t>
      </w:r>
    </w:p>
    <w:p w14:paraId="6C189A56">
      <w:pPr>
        <w:widowControl/>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kern w:val="0"/>
          <w:szCs w:val="21"/>
          <w:highlight w:val="none"/>
          <w14:textFill>
            <w14:solidFill>
              <w14:schemeClr w14:val="tx1"/>
            </w14:solidFill>
          </w14:textFill>
        </w:rPr>
        <w:t>由采购人免费提供施工用水、用电等。</w:t>
      </w:r>
    </w:p>
    <w:p w14:paraId="457459F2">
      <w:pPr>
        <w:widowControl/>
        <w:ind w:firstLine="482"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5.2.</w:t>
      </w:r>
      <w:r>
        <w:rPr>
          <w:rFonts w:ascii="仿宋" w:hAnsi="仿宋" w:eastAsia="仿宋" w:cs="仿宋"/>
          <w:b/>
          <w:color w:val="000000" w:themeColor="text1"/>
          <w:kern w:val="0"/>
          <w:szCs w:val="21"/>
          <w:highlight w:val="none"/>
          <w14:textFill>
            <w14:solidFill>
              <w14:schemeClr w14:val="tx1"/>
            </w14:solidFill>
          </w14:textFill>
        </w:rPr>
        <w:t>3</w:t>
      </w:r>
      <w:r>
        <w:rPr>
          <w:rFonts w:hint="eastAsia" w:ascii="仿宋" w:hAnsi="仿宋" w:eastAsia="仿宋" w:cs="仿宋"/>
          <w:b/>
          <w:color w:val="000000" w:themeColor="text1"/>
          <w:kern w:val="0"/>
          <w:szCs w:val="21"/>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施工区域围蔽的要求</w:t>
      </w:r>
    </w:p>
    <w:p w14:paraId="4E88D33A">
      <w:pPr>
        <w:widowControl/>
        <w:snapToGrid/>
        <w:spacing w:line="288" w:lineRule="auto"/>
        <w:ind w:firstLine="480" w:firstLineChars="200"/>
        <w:rPr>
          <w:rFonts w:hint="eastAsia" w:cs="仿宋"/>
          <w:color w:val="000000" w:themeColor="text1"/>
          <w:kern w:val="0"/>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基本要求</w:t>
      </w:r>
    </w:p>
    <w:p w14:paraId="1BCA9C8E">
      <w:pPr>
        <w:widowControl/>
        <w:snapToGrid/>
        <w:spacing w:line="288" w:lineRule="auto"/>
        <w:ind w:firstLine="480" w:firstLineChars="200"/>
        <w:rPr>
          <w:rFonts w:hint="eastAsia" w:cs="仿宋"/>
          <w:color w:val="000000" w:themeColor="text1"/>
          <w:kern w:val="0"/>
          <w:szCs w:val="21"/>
          <w:highlight w:val="none"/>
          <w14:textFill>
            <w14:solidFill>
              <w14:schemeClr w14:val="tx1"/>
            </w14:solidFill>
          </w14:textFill>
        </w:rPr>
      </w:pP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视现场需要灵活设置连续</w:t>
      </w: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稳固</w:t>
      </w: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安全的围蔽设施。严格执行先围蔽后施工。</w:t>
      </w:r>
    </w:p>
    <w:p w14:paraId="5DB4D8E4">
      <w:pPr>
        <w:widowControl/>
        <w:pBdr>
          <w:bottom w:val="none" w:color="auto" w:sz="0" w:space="0"/>
        </w:pBdr>
        <w:snapToGrid/>
        <w:spacing w:line="288" w:lineRule="auto"/>
        <w:ind w:firstLine="480" w:firstLineChars="200"/>
        <w:rPr>
          <w:rFonts w:hint="eastAsia" w:cs="仿宋"/>
          <w:color w:val="000000" w:themeColor="text1"/>
          <w:kern w:val="0"/>
          <w:szCs w:val="21"/>
          <w:highlight w:val="none"/>
          <w14:textFill>
            <w14:solidFill>
              <w14:schemeClr w14:val="tx1"/>
            </w14:solidFill>
          </w14:textFill>
        </w:rPr>
      </w:pPr>
      <w:r>
        <w:rPr>
          <w:rFonts w:hint="eastAsia" w:cs="仿宋"/>
          <w:b w:val="0"/>
          <w:i w:val="0"/>
          <w:strike w:val="0"/>
          <w:color w:val="000000" w:themeColor="text1"/>
          <w:spacing w:val="0"/>
          <w:kern w:val="0"/>
          <w:sz w:val="24"/>
          <w:szCs w:val="21"/>
          <w:highlight w:val="none"/>
          <w:u w:val="none"/>
          <w:lang w:val="en-US" w:eastAsia="zh-CN"/>
          <w14:textFill>
            <w14:solidFill>
              <w14:schemeClr w14:val="tx1"/>
            </w14:solidFill>
          </w14:textFill>
        </w:rPr>
        <w:t>2、</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可选的围蔽形式：</w:t>
      </w:r>
    </w:p>
    <w:p w14:paraId="4243B998">
      <w:pPr>
        <w:widowControl/>
        <w:snapToGrid/>
        <w:spacing w:line="288" w:lineRule="auto"/>
        <w:ind w:firstLine="480" w:firstLineChars="200"/>
        <w:rPr>
          <w:rFonts w:hint="eastAsia" w:cs="仿宋"/>
          <w:color w:val="000000" w:themeColor="text1"/>
          <w:kern w:val="0"/>
          <w:szCs w:val="21"/>
          <w:highlight w:val="none"/>
          <w14:textFill>
            <w14:solidFill>
              <w14:schemeClr w14:val="tx1"/>
            </w14:solidFill>
          </w14:textFill>
        </w:rPr>
      </w:pP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w:t>
      </w:r>
      <w:r>
        <w:rPr>
          <w:rFonts w:hint="eastAsia" w:cs="仿宋"/>
          <w:b w:val="0"/>
          <w:i w:val="0"/>
          <w:strike w:val="0"/>
          <w:color w:val="000000" w:themeColor="text1"/>
          <w:spacing w:val="0"/>
          <w:kern w:val="0"/>
          <w:sz w:val="24"/>
          <w:szCs w:val="21"/>
          <w:highlight w:val="none"/>
          <w:u w:val="none"/>
          <w:lang w:val="en-US" w:eastAsia="zh-CN"/>
          <w14:textFill>
            <w14:solidFill>
              <w14:schemeClr w14:val="tx1"/>
            </w14:solidFill>
          </w14:textFill>
        </w:rPr>
        <w:t>1</w:t>
      </w: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装配式围挡（彩钢板</w:t>
      </w: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及</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龙骨搭建的广告布等）</w:t>
      </w: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有粉尘产生的施工区域应从天花到地面进行整体封闭。并带醒目的警示标识，工程项目改造相关信息。</w:t>
      </w:r>
    </w:p>
    <w:p w14:paraId="2A40F3D5">
      <w:pPr>
        <w:widowControl/>
        <w:pBdr>
          <w:bottom w:val="none" w:color="auto" w:sz="0" w:space="0"/>
        </w:pBdr>
        <w:snapToGrid/>
        <w:spacing w:line="288" w:lineRule="auto"/>
        <w:ind w:firstLine="480" w:firstLineChars="200"/>
        <w:rPr>
          <w:rFonts w:hint="eastAsia" w:cs="仿宋"/>
          <w:color w:val="000000" w:themeColor="text1"/>
          <w:kern w:val="0"/>
          <w:szCs w:val="21"/>
          <w:highlight w:val="none"/>
          <w14:textFill>
            <w14:solidFill>
              <w14:schemeClr w14:val="tx1"/>
            </w14:solidFill>
          </w14:textFill>
        </w:rPr>
      </w:pP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w:t>
      </w:r>
      <w:r>
        <w:rPr>
          <w:rFonts w:hint="eastAsia" w:cs="仿宋"/>
          <w:b w:val="0"/>
          <w:i w:val="0"/>
          <w:strike w:val="0"/>
          <w:color w:val="000000" w:themeColor="text1"/>
          <w:spacing w:val="0"/>
          <w:kern w:val="0"/>
          <w:sz w:val="24"/>
          <w:szCs w:val="21"/>
          <w:highlight w:val="none"/>
          <w:u w:val="none"/>
          <w:lang w:val="en-US" w:eastAsia="zh-CN"/>
          <w14:textFill>
            <w14:solidFill>
              <w14:schemeClr w14:val="tx1"/>
            </w14:solidFill>
          </w14:textFill>
        </w:rPr>
        <w:t>2</w:t>
      </w:r>
      <w:r>
        <w:rPr>
          <w:rFonts w:hint="eastAsia" w:cs="仿宋"/>
          <w:b w:val="0"/>
          <w:i w:val="0"/>
          <w:strike w:val="0"/>
          <w:color w:val="000000" w:themeColor="text1"/>
          <w:spacing w:val="0"/>
          <w:kern w:val="0"/>
          <w:sz w:val="24"/>
          <w:szCs w:val="21"/>
          <w:highlight w:val="none"/>
          <w:u w:val="none"/>
          <w:lang w:eastAsia="zh-CN"/>
          <w14:textFill>
            <w14:solidFill>
              <w14:schemeClr w14:val="tx1"/>
            </w14:solidFill>
          </w14:textFill>
        </w:rPr>
        <w:t>）</w:t>
      </w:r>
      <w:r>
        <w:rPr>
          <w:rFonts w:hint="eastAsia" w:ascii="仿宋" w:hAnsi="仿宋" w:eastAsia="仿宋" w:cs="仿宋"/>
          <w:b w:val="0"/>
          <w:i w:val="0"/>
          <w:strike w:val="0"/>
          <w:color w:val="000000" w:themeColor="text1"/>
          <w:spacing w:val="0"/>
          <w:kern w:val="0"/>
          <w:sz w:val="24"/>
          <w:szCs w:val="21"/>
          <w:highlight w:val="none"/>
          <w:u w:val="none"/>
          <w14:textFill>
            <w14:solidFill>
              <w14:schemeClr w14:val="tx1"/>
            </w14:solidFill>
          </w14:textFill>
        </w:rPr>
        <w:t>移动式围挡（临时护栏，警戒线等）。用于短期、线性工程，并带醒目的警示标识。</w:t>
      </w:r>
    </w:p>
    <w:p w14:paraId="352C4CFD">
      <w:pPr>
        <w:widowControl/>
        <w:ind w:firstLine="482" w:firstLineChars="200"/>
        <w:rPr>
          <w:rFonts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5.2.4施工过程材料管理</w:t>
      </w:r>
    </w:p>
    <w:p w14:paraId="5E2CB3E2">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采购的设备材料，原则上品牌、型号、规格、产地、技术指标、价格和供货商须和投标清单一致，如</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选中的投标品牌无法满足</w:t>
      </w:r>
      <w:r>
        <w:rPr>
          <w:rFonts w:hint="eastAsia" w:cs="仿宋"/>
          <w:color w:val="000000" w:themeColor="text1"/>
          <w:kern w:val="0"/>
          <w:szCs w:val="21"/>
          <w:highlight w:val="none"/>
          <w:lang w:val="en-US" w:eastAsia="zh-CN"/>
          <w14:textFill>
            <w14:solidFill>
              <w14:schemeClr w14:val="tx1"/>
            </w14:solidFill>
          </w14:textFill>
        </w:rPr>
        <w:t>项目</w:t>
      </w:r>
      <w:r>
        <w:rPr>
          <w:rFonts w:hint="eastAsia" w:ascii="仿宋" w:hAnsi="仿宋" w:eastAsia="仿宋" w:cs="仿宋"/>
          <w:color w:val="000000" w:themeColor="text1"/>
          <w:kern w:val="0"/>
          <w:szCs w:val="21"/>
          <w:highlight w:val="none"/>
          <w14:textFill>
            <w14:solidFill>
              <w14:schemeClr w14:val="tx1"/>
            </w14:solidFill>
          </w14:textFill>
        </w:rPr>
        <w:t>的供货和施工需要，</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须采购</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在招标阶段推荐的其它材料品牌。</w:t>
      </w:r>
    </w:p>
    <w:p w14:paraId="35174CC1">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发现</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采购或使用不符合投标品牌的材料、不符合设计或标准要求的材料时，可要求</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在限定的时间运出施工场地、负责修复、拆除或重新采购，并由</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承担由此发生的一切费用，延误的工期不予顺延。</w:t>
      </w:r>
    </w:p>
    <w:p w14:paraId="286D0772">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（3）若招标文件推荐的几种品牌，由于特殊原因无法满足本</w:t>
      </w:r>
      <w:r>
        <w:rPr>
          <w:rFonts w:hint="eastAsia" w:cs="仿宋"/>
          <w:color w:val="000000" w:themeColor="text1"/>
          <w:kern w:val="0"/>
          <w:szCs w:val="21"/>
          <w:highlight w:val="none"/>
          <w:lang w:val="en-US" w:eastAsia="zh-CN"/>
          <w14:textFill>
            <w14:solidFill>
              <w14:schemeClr w14:val="tx1"/>
            </w14:solidFill>
          </w14:textFill>
        </w:rPr>
        <w:t>项目</w:t>
      </w:r>
      <w:r>
        <w:rPr>
          <w:rFonts w:hint="eastAsia" w:ascii="仿宋" w:hAnsi="仿宋" w:eastAsia="仿宋" w:cs="仿宋"/>
          <w:color w:val="000000" w:themeColor="text1"/>
          <w:kern w:val="0"/>
          <w:szCs w:val="21"/>
          <w:highlight w:val="none"/>
          <w14:textFill>
            <w14:solidFill>
              <w14:schemeClr w14:val="tx1"/>
            </w14:solidFill>
          </w14:textFill>
        </w:rPr>
        <w:t>的供货和施工需要，则</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应呈送专项申请报告说明原因，另推荐三种以上质量档次相同的材料供应商和产品的详细资料、产品样板及价格供</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选择代用，</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可从中选定一家供应商的样板与价格，则此价格即作为该材料的结算价格；如</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不同意选择</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报送的产品，则按照双方制订的看样定板选材程序进行材料品牌的综合评选，经双方评审人员确定厂家、品牌及样板，由</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与材料供应商签订采购合同。</w:t>
      </w:r>
    </w:p>
    <w:p w14:paraId="60C2B2CC">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（4）</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采购的材料和工程设备在使用前，需经</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确认，须经监理人员（如有）、2名</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工程管理人员共同验收，并按要求填写《工程材料验收表》，经验收合格后方可使用；并报监理工程师及</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进行检验试验，按规定抽样送检，查验材料合格证和产品合格证书。合同双方当事人应做好检验书面记录，并要求指定人选及时办理签认手续。未经检测合格的产品不准使用于工程上，否则必须无条件拆除并承担相应责任。</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保留委托有资质的独立第三方对材料进行检测的权利。</w:t>
      </w:r>
    </w:p>
    <w:p w14:paraId="5ED9BCF7">
      <w:pPr>
        <w:widowControl/>
        <w:ind w:firstLine="482" w:firstLineChars="200"/>
        <w:rPr>
          <w:rFonts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5.2.5工程变更、签证</w:t>
      </w:r>
    </w:p>
    <w:p w14:paraId="3B5CD07C">
      <w:pPr>
        <w:widowControl/>
        <w:tabs>
          <w:tab w:val="left" w:pos="0"/>
          <w:tab w:val="left" w:pos="424"/>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经</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确认的设计方案（平面布局或效果）和使用功能需求、已选定主要材料样板或品牌规格，原则上不允许变更，允许设计变更的原则：</w:t>
      </w:r>
    </w:p>
    <w:p w14:paraId="3B1530C4">
      <w:pPr>
        <w:widowControl/>
        <w:tabs>
          <w:tab w:val="left" w:pos="0"/>
          <w:tab w:val="left" w:pos="424"/>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（1）设计存在有违国家设计规范的失误或错、漏；</w:t>
      </w:r>
    </w:p>
    <w:p w14:paraId="6AB54C33">
      <w:pPr>
        <w:widowControl/>
        <w:tabs>
          <w:tab w:val="left" w:pos="0"/>
          <w:tab w:val="left" w:pos="424"/>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（2）由于采用更有利于工程进度或成本的新工艺、新技术；</w:t>
      </w:r>
    </w:p>
    <w:p w14:paraId="6E8E1DB4">
      <w:pPr>
        <w:widowControl/>
        <w:tabs>
          <w:tab w:val="left" w:pos="0"/>
          <w:tab w:val="left" w:pos="424"/>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（3）由于原定使用的材料品种或品牌停产或选择错误；</w:t>
      </w:r>
    </w:p>
    <w:p w14:paraId="27938242">
      <w:pPr>
        <w:widowControl/>
        <w:tabs>
          <w:tab w:val="left" w:pos="0"/>
          <w:tab w:val="left" w:pos="424"/>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（4）由于结构、天气、施工条件限制等因素导致的方案变更。</w:t>
      </w:r>
    </w:p>
    <w:p w14:paraId="5FD99CEB">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设计变更需按审批流程经</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同意。未经批准不得擅自实施变更。</w:t>
      </w:r>
    </w:p>
    <w:p w14:paraId="7605BE57">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项目竣工图无法反映的工作内容进行现场签证工作，尤其是拆除项目以及其它签证（如大型设备进出场、需二次搬运现场等）要及时测量，7天内完成《工程签证表》。签证执行以下规定：</w:t>
      </w:r>
    </w:p>
    <w:p w14:paraId="73A8F948">
      <w:pPr>
        <w:widowControl/>
        <w:tabs>
          <w:tab w:val="left" w:pos="1402"/>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（1）签证应真实、表达应清晰、详细；投标单价已含的工作内容不能重复签证；对于未按要求、手续不全，明显不合理的签证不予承认；</w:t>
      </w:r>
    </w:p>
    <w:p w14:paraId="70C9D08E">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（2）可明确计算工程量的签证，只能签工程量而不能签人工工日和机械台班数量、金额；</w:t>
      </w:r>
    </w:p>
    <w:p w14:paraId="2299979F">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（3）无法计算工程量的签证，可签所发生的工程内容、人工工日或机械台班数量，或包干金额（签证仅限2千元以下，如超过2千元，则需报采购人完成定价审批后执行）；</w:t>
      </w:r>
    </w:p>
    <w:p w14:paraId="52E9F174">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4）现场签证单要根据签证的时间先后统一编号并整理装订成册，并扫描成电子文件。现场签证单上应有工程量的计算过程、施工简图、文字说明或拍照图片记录；道路工程、室外电缆铺设等市政工程应有简图示意；所用材料的规格、品牌、厚度等需详实描述；</w:t>
      </w:r>
    </w:p>
    <w:p w14:paraId="7CC57CAC">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（5）签证单需由施工单位、监理单位（如有）和2名及以上</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管理人员签字确认。</w:t>
      </w:r>
    </w:p>
    <w:p w14:paraId="364E74E3">
      <w:pPr>
        <w:widowControl/>
        <w:ind w:firstLine="482" w:firstLineChars="200"/>
        <w:rPr>
          <w:rFonts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5.3 施工质量管理</w:t>
      </w:r>
    </w:p>
    <w:p w14:paraId="1429CB8C">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应及时组织</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办理隐蔽工程和中间工程的检查与验收手续。隐蔽项目验收要填写《工程中间（隐蔽）验收记录表》，隐蔽工程须经验收合格后方可进行下一道工序的施工。隐蔽验收须经设计单位和监理单位（如有）、2名</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管理人员、检查合格后方可封闭，须有文字及拍照图片记录存档。在封闭（或隐蔽）天花或极易存在隐患的关键部位前，须提前通知</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的物业管理科、保卫科及各系统驻场维保单位参与各风管、管线或其它隐蔽验收见证工作。</w:t>
      </w:r>
    </w:p>
    <w:p w14:paraId="4285CE58">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不按时参加隐蔽和中间工程验收</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可自行验收，</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应予承认。若</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要求复验时，</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应按要求办理复验。若复验合格，</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应承担复验费用，由此造成停工，工期顺延；若复验不合格，其复验及返工费用由</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承担，但工期不予以顺延。</w:t>
      </w:r>
    </w:p>
    <w:p w14:paraId="78141299">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中间工程验收，发现工程质量达不到约定标准，</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应拆除和重新施工，直到符合约定标准为止。因</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原因达不到约定标准的，其返工费用由</w:t>
      </w:r>
      <w:r>
        <w:rPr>
          <w:rFonts w:hint="eastAsia" w:cs="仿宋"/>
          <w:color w:val="000000" w:themeColor="text1"/>
          <w:kern w:val="0"/>
          <w:szCs w:val="21"/>
          <w:highlight w:val="none"/>
          <w:lang w:eastAsia="zh-CN"/>
          <w14:textFill>
            <w14:solidFill>
              <w14:schemeClr w14:val="tx1"/>
            </w14:solidFill>
          </w14:textFill>
        </w:rPr>
        <w:t>中标人</w:t>
      </w:r>
      <w:r>
        <w:rPr>
          <w:rFonts w:hint="eastAsia" w:ascii="仿宋" w:hAnsi="仿宋" w:eastAsia="仿宋" w:cs="仿宋"/>
          <w:color w:val="000000" w:themeColor="text1"/>
          <w:kern w:val="0"/>
          <w:szCs w:val="21"/>
          <w:highlight w:val="none"/>
          <w14:textFill>
            <w14:solidFill>
              <w14:schemeClr w14:val="tx1"/>
            </w14:solidFill>
          </w14:textFill>
        </w:rPr>
        <w:t>承担，工期不予顺延。因</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原因达不到约定标准的，由</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承担拆除和重新施工的费用及相应的损失，顺延延误的工期。</w:t>
      </w:r>
    </w:p>
    <w:p w14:paraId="5D28CBF0">
      <w:pPr>
        <w:widowControl/>
        <w:ind w:firstLine="482" w:firstLineChars="200"/>
        <w:rPr>
          <w:rFonts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5.4 竣工验收</w:t>
      </w:r>
    </w:p>
    <w:p w14:paraId="1D723696">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施工完成后，施工单位应向监理（如有）或</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项目负责人提出验收申请后，按以下规定办理验收手续：</w:t>
      </w:r>
    </w:p>
    <w:p w14:paraId="6EB50F72">
      <w:pPr>
        <w:widowControl/>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项目完成合同和设计约定的全部内容后，可办理项目验收，验收合格后填写《工程验收报告》，并由参与验收的各方签名确认，由此确认工程项目完工日期，并交付使用科室投入使用；如需整改，则整改完成后再确认验收日期。验收主要按照国家相关规范及行业标准验收，并针对工程外观及各系统核心质量、是否满足使用需求及具备交付使用条件等进行验收。</w:t>
      </w:r>
    </w:p>
    <w:p w14:paraId="7AD99596">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（2）如使用科室提出空气质量检测，则在施工完工后的5天内安排空气质量抽检，抽检合格视为全部施工场地空气质量合格，由</w:t>
      </w:r>
      <w:r>
        <w:rPr>
          <w:rFonts w:hint="eastAsia" w:cs="仿宋"/>
          <w:color w:val="000000" w:themeColor="text1"/>
          <w:kern w:val="0"/>
          <w:szCs w:val="21"/>
          <w:highlight w:val="none"/>
          <w:lang w:eastAsia="zh-CN"/>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承担空气检测费用；抽检不合格视为该项目全部施工场地空气质量不合格，由施工单位承担全部施工场地的空气净化处理费和空气检测费用，直至空气检测合格为止；检测合格方可办理预验收手续。</w:t>
      </w:r>
    </w:p>
    <w:p w14:paraId="7BC7BC63">
      <w:pPr>
        <w:widowControl/>
        <w:tabs>
          <w:tab w:val="left" w:pos="1260"/>
          <w:tab w:val="left" w:pos="144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（3）按规定及时办理消防、环保、卫评、疾控等部门验收手续的项目。</w:t>
      </w:r>
    </w:p>
    <w:p w14:paraId="7E03F2B7">
      <w:pPr>
        <w:ind w:firstLine="482" w:firstLineChars="200"/>
        <w:rPr>
          <w:rFonts w:hint="eastAsia" w:ascii="仿宋" w:hAnsi="仿宋" w:eastAsia="仿宋" w:cs="仿宋"/>
          <w:b/>
          <w:bCs/>
          <w:color w:val="000000" w:themeColor="text1"/>
          <w:kern w:val="0"/>
          <w:szCs w:val="21"/>
          <w:highlight w:val="none"/>
          <w14:textFill>
            <w14:solidFill>
              <w14:schemeClr w14:val="tx1"/>
            </w14:solidFill>
          </w14:textFill>
        </w:rPr>
      </w:pPr>
      <w:r>
        <w:rPr>
          <w:rStyle w:val="11"/>
          <w:rFonts w:hint="eastAsia"/>
          <w:b/>
          <w:bCs/>
          <w:color w:val="000000" w:themeColor="text1"/>
          <w:highlight w:val="none"/>
          <w14:textFill>
            <w14:solidFill>
              <w14:schemeClr w14:val="tx1"/>
            </w14:solidFill>
          </w14:textFill>
        </w:rPr>
        <w:t>5.</w:t>
      </w:r>
      <w:r>
        <w:rPr>
          <w:rStyle w:val="11"/>
          <w:rFonts w:hint="eastAsia"/>
          <w:b/>
          <w:bCs/>
          <w:color w:val="000000" w:themeColor="text1"/>
          <w:highlight w:val="none"/>
          <w:lang w:val="en-US" w:eastAsia="zh-CN"/>
          <w14:textFill>
            <w14:solidFill>
              <w14:schemeClr w14:val="tx1"/>
            </w14:solidFill>
          </w14:textFill>
        </w:rPr>
        <w:t>5</w:t>
      </w:r>
      <w:r>
        <w:rPr>
          <w:rStyle w:val="11"/>
          <w:rFonts w:hint="eastAsia"/>
          <w:b/>
          <w:bCs/>
          <w:color w:val="000000" w:themeColor="text1"/>
          <w:highlight w:val="none"/>
          <w14:textFill>
            <w14:solidFill>
              <w14:schemeClr w14:val="tx1"/>
            </w14:solidFill>
          </w14:textFill>
        </w:rPr>
        <w:t xml:space="preserve"> </w:t>
      </w:r>
      <w:r>
        <w:rPr>
          <w:rFonts w:hint="eastAsia" w:ascii="仿宋" w:hAnsi="仿宋" w:eastAsia="仿宋" w:cs="仿宋"/>
          <w:b/>
          <w:bCs/>
          <w:color w:val="000000" w:themeColor="text1"/>
          <w:kern w:val="0"/>
          <w:szCs w:val="21"/>
          <w:highlight w:val="none"/>
          <w14:textFill>
            <w14:solidFill>
              <w14:schemeClr w14:val="tx1"/>
            </w14:solidFill>
          </w14:textFill>
        </w:rPr>
        <w:t>质量保修约定</w:t>
      </w:r>
    </w:p>
    <w:p w14:paraId="57E0B450">
      <w:pPr>
        <w:ind w:firstLine="48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双方根据《建设工程质量管理条例》及有关规定，约定本项目质量保修期为自项目验收合格之日起</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 xml:space="preserve"> </w:t>
      </w:r>
      <w:r>
        <w:rPr>
          <w:rFonts w:ascii="仿宋" w:hAnsi="仿宋" w:eastAsia="仿宋"/>
          <w:color w:val="000000" w:themeColor="text1"/>
          <w:szCs w:val="21"/>
          <w:highlight w:val="none"/>
          <w:u w:val="single"/>
          <w14:textFill>
            <w14:solidFill>
              <w14:schemeClr w14:val="tx1"/>
            </w14:solidFill>
          </w14:textFill>
        </w:rPr>
        <w:t xml:space="preserve">2 </w:t>
      </w:r>
      <w:r>
        <w:rPr>
          <w:rFonts w:hint="eastAsia" w:ascii="仿宋" w:hAnsi="仿宋" w:eastAsia="仿宋"/>
          <w:color w:val="000000" w:themeColor="text1"/>
          <w:szCs w:val="21"/>
          <w:highlight w:val="none"/>
          <w14:textFill>
            <w14:solidFill>
              <w14:schemeClr w14:val="tx1"/>
            </w14:solidFill>
          </w14:textFill>
        </w:rPr>
        <w:t>年。</w:t>
      </w:r>
    </w:p>
    <w:p w14:paraId="1FB2EDD3">
      <w:pPr>
        <w:pStyle w:val="2"/>
        <w:numPr>
          <w:ilvl w:val="0"/>
          <w:numId w:val="0"/>
        </w:numPr>
        <w:bidi w:val="0"/>
        <w:ind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条：</w:t>
      </w:r>
      <w:r>
        <w:rPr>
          <w:rFonts w:hint="eastAsia"/>
          <w:color w:val="000000" w:themeColor="text1"/>
          <w:highlight w:val="none"/>
          <w:lang w:val="en-US" w:eastAsia="zh-CN"/>
          <w14:textFill>
            <w14:solidFill>
              <w14:schemeClr w14:val="tx1"/>
            </w14:solidFill>
          </w14:textFill>
        </w:rPr>
        <w:t>结算及付款方式</w:t>
      </w:r>
    </w:p>
    <w:p w14:paraId="673FE6AB">
      <w:pPr>
        <w:keepNext w:val="0"/>
        <w:keepLines w:val="0"/>
        <w:pageBreakBefore w:val="0"/>
        <w:tabs>
          <w:tab w:val="left" w:pos="1320"/>
        </w:tabs>
        <w:kinsoku/>
        <w:wordWrap/>
        <w:overflowPunct/>
        <w:topLinePunct w:val="0"/>
        <w:bidi w:val="0"/>
        <w:snapToGrid w:val="0"/>
        <w:spacing w:line="288" w:lineRule="auto"/>
        <w:ind w:firstLine="48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 xml:space="preserve">6.1 </w:t>
      </w:r>
      <w:r>
        <w:rPr>
          <w:rFonts w:hint="eastAsia"/>
          <w:b/>
          <w:bCs/>
          <w:color w:val="000000" w:themeColor="text1"/>
          <w:highlight w:val="none"/>
          <w14:textFill>
            <w14:solidFill>
              <w14:schemeClr w14:val="tx1"/>
            </w14:solidFill>
          </w14:textFill>
        </w:rPr>
        <w:t>结算方式</w:t>
      </w:r>
    </w:p>
    <w:p w14:paraId="4092BB4C">
      <w:pPr>
        <w:keepNext w:val="0"/>
        <w:keepLines w:val="0"/>
        <w:pageBreakBefore w:val="0"/>
        <w:tabs>
          <w:tab w:val="left" w:pos="1320"/>
        </w:tabs>
        <w:kinsoku/>
        <w:wordWrap/>
        <w:overflowPunct/>
        <w:topLinePunct w:val="0"/>
        <w:bidi w:val="0"/>
        <w:snapToGrid w:val="0"/>
        <w:spacing w:line="288"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6.1.1 </w:t>
      </w:r>
      <w:r>
        <w:rPr>
          <w:rFonts w:hint="eastAsia"/>
          <w:color w:val="000000" w:themeColor="text1"/>
          <w:highlight w:val="none"/>
          <w14:textFill>
            <w14:solidFill>
              <w14:schemeClr w14:val="tx1"/>
            </w14:solidFill>
          </w14:textFill>
        </w:rPr>
        <w:t>以实际发生的工程量，依据现行《建设工程工程量清单计价规范》及现行《广东省修缮工程综合定额2012》《广东省房屋建筑与装饰工程定额2018》《广东省通用安装工程综合定额2018》计价办法</w:t>
      </w:r>
      <w:r>
        <w:rPr>
          <w:rFonts w:hint="eastAsia"/>
          <w:color w:val="000000" w:themeColor="text1"/>
          <w:highlight w:val="none"/>
          <w:lang w:val="en-US" w:eastAsia="zh-CN"/>
          <w14:textFill>
            <w14:solidFill>
              <w14:schemeClr w14:val="tx1"/>
            </w14:solidFill>
          </w14:textFill>
        </w:rPr>
        <w:t>结算</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每季度结算一次。</w:t>
      </w:r>
    </w:p>
    <w:p w14:paraId="3F1DFA27">
      <w:pPr>
        <w:keepNext w:val="0"/>
        <w:keepLines w:val="0"/>
        <w:pageBreakBefore w:val="0"/>
        <w:tabs>
          <w:tab w:val="left" w:pos="1320"/>
        </w:tabs>
        <w:kinsoku/>
        <w:wordWrap/>
        <w:overflowPunct/>
        <w:topLinePunct w:val="0"/>
        <w:bidi w:val="0"/>
        <w:snapToGrid w:val="0"/>
        <w:spacing w:line="288"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6.1.2 每个单项项目完成后7个工作日内双方共同完成工程量测量及竣工验收，中标人在每季度后的一个月内向采购人批量提交本季度的结算送审资料。</w:t>
      </w:r>
    </w:p>
    <w:p w14:paraId="65F7D780">
      <w:pPr>
        <w:widowControl/>
        <w:tabs>
          <w:tab w:val="left" w:pos="1320"/>
        </w:tabs>
        <w:ind w:firstLine="480" w:firstLineChars="200"/>
        <w:rPr>
          <w:rFonts w:ascii="仿宋" w:hAnsi="仿宋" w:eastAsia="仿宋" w:cs="仿宋"/>
          <w:color w:val="000000" w:themeColor="text1"/>
          <w:kern w:val="0"/>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6.1.3 结算软件使用广联达造价软件，送审结算资料应含立项批复、验收报告、材料进场报验单（如有）、工程量签证单、结算书等结算资料（含电子版）。</w:t>
      </w:r>
      <w:r>
        <w:rPr>
          <w:rFonts w:hint="eastAsia" w:ascii="仿宋" w:hAnsi="仿宋" w:eastAsia="仿宋" w:cs="仿宋"/>
          <w:color w:val="000000" w:themeColor="text1"/>
          <w:kern w:val="0"/>
          <w:szCs w:val="21"/>
          <w:highlight w:val="none"/>
          <w14:textFill>
            <w14:solidFill>
              <w14:schemeClr w14:val="tx1"/>
            </w14:solidFill>
          </w14:textFill>
        </w:rPr>
        <w:t>单项金额在3万元以上项目提供两张以上现场施工照片附结算一起送审，单项金额在3万以下项目根据实际情况，由项目负责人决定是否提供现场照片。</w:t>
      </w:r>
    </w:p>
    <w:p w14:paraId="470E0B91">
      <w:pPr>
        <w:pStyle w:val="7"/>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1.4</w:t>
      </w:r>
      <w:r>
        <w:rPr>
          <w:rFonts w:hint="eastAsia"/>
          <w:color w:val="000000" w:themeColor="text1"/>
          <w:highlight w:val="none"/>
          <w:lang w:eastAsia="zh-CN"/>
          <w14:textFill>
            <w14:solidFill>
              <w14:schemeClr w14:val="tx1"/>
            </w14:solidFill>
          </w14:textFill>
        </w:rPr>
        <w:t xml:space="preserve"> 每季度发包人按照正式出具审计意见的工程结算书进行结算，未出具审计意见的工程结算书顺延至下一季度结算。审计完毕双方签字确认。</w:t>
      </w:r>
    </w:p>
    <w:p w14:paraId="2B6820B6">
      <w:pPr>
        <w:keepNext w:val="0"/>
        <w:keepLines w:val="0"/>
        <w:pageBreakBefore w:val="0"/>
        <w:tabs>
          <w:tab w:val="left" w:pos="1320"/>
        </w:tabs>
        <w:kinsoku/>
        <w:wordWrap/>
        <w:overflowPunct/>
        <w:topLinePunct w:val="0"/>
        <w:bidi w:val="0"/>
        <w:snapToGrid w:val="0"/>
        <w:spacing w:line="288" w:lineRule="auto"/>
        <w:ind w:firstLine="480" w:firstLineChars="20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6.1.5 </w:t>
      </w:r>
      <w:r>
        <w:rPr>
          <w:rFonts w:hint="eastAsia" w:ascii="仿宋" w:hAnsi="仿宋" w:eastAsia="仿宋"/>
          <w:color w:val="000000" w:themeColor="text1"/>
          <w:sz w:val="24"/>
          <w:szCs w:val="24"/>
          <w:highlight w:val="none"/>
          <w14:textFill>
            <w14:solidFill>
              <w14:schemeClr w14:val="tx1"/>
            </w14:solidFill>
          </w14:textFill>
        </w:rPr>
        <w:t>结算金额按采购人或其委托的第三方机构出具的</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结算审核书</w:t>
      </w:r>
      <w:r>
        <w:rPr>
          <w:rFonts w:hint="eastAsia"/>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14:textFill>
            <w14:solidFill>
              <w14:schemeClr w14:val="tx1"/>
            </w14:solidFill>
          </w14:textFill>
        </w:rPr>
        <w:t>为准</w:t>
      </w:r>
      <w:r>
        <w:rPr>
          <w:rFonts w:hint="eastAsia"/>
          <w:color w:val="000000" w:themeColor="text1"/>
          <w:sz w:val="24"/>
          <w:szCs w:val="24"/>
          <w:highlight w:val="none"/>
          <w:lang w:eastAsia="zh-CN"/>
          <w14:textFill>
            <w14:solidFill>
              <w14:schemeClr w14:val="tx1"/>
            </w14:solidFill>
          </w14:textFill>
        </w:rPr>
        <w:t>，当采购人或其委托的咨询单位一个批次的结算终审核减额大于5%（不含5%），该批工程项目所有造价审核费用由</w:t>
      </w:r>
      <w:r>
        <w:rPr>
          <w:rFonts w:hint="eastAsia"/>
          <w:color w:val="000000" w:themeColor="text1"/>
          <w:sz w:val="24"/>
          <w:szCs w:val="24"/>
          <w:highlight w:val="none"/>
          <w:lang w:val="en-US" w:eastAsia="zh-CN"/>
          <w14:textFill>
            <w14:solidFill>
              <w14:schemeClr w14:val="tx1"/>
            </w14:solidFill>
          </w14:textFill>
        </w:rPr>
        <w:t>中标人</w:t>
      </w:r>
      <w:r>
        <w:rPr>
          <w:rFonts w:hint="eastAsia"/>
          <w:color w:val="000000" w:themeColor="text1"/>
          <w:sz w:val="24"/>
          <w:szCs w:val="24"/>
          <w:highlight w:val="none"/>
          <w:lang w:eastAsia="zh-CN"/>
          <w14:textFill>
            <w14:solidFill>
              <w14:schemeClr w14:val="tx1"/>
            </w14:solidFill>
          </w14:textFill>
        </w:rPr>
        <w:t>承担。</w:t>
      </w:r>
    </w:p>
    <w:p w14:paraId="1A9B8A46">
      <w:pPr>
        <w:keepNext w:val="0"/>
        <w:keepLines w:val="0"/>
        <w:pageBreakBefore w:val="0"/>
        <w:tabs>
          <w:tab w:val="left" w:pos="1320"/>
        </w:tabs>
        <w:kinsoku/>
        <w:wordWrap/>
        <w:overflowPunct/>
        <w:topLinePunct w:val="0"/>
        <w:bidi w:val="0"/>
        <w:snapToGrid w:val="0"/>
        <w:spacing w:line="288" w:lineRule="auto"/>
        <w:ind w:firstLine="480" w:firstLineChars="20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6.1.6 </w:t>
      </w:r>
      <w:r>
        <w:rPr>
          <w:rFonts w:hint="eastAsia"/>
          <w:color w:val="000000" w:themeColor="text1"/>
          <w:sz w:val="24"/>
          <w:szCs w:val="24"/>
          <w:highlight w:val="none"/>
          <w:lang w:eastAsia="zh-CN"/>
          <w14:textFill>
            <w14:solidFill>
              <w14:schemeClr w14:val="tx1"/>
            </w14:solidFill>
          </w14:textFill>
        </w:rPr>
        <w:t>结算时以税前总价为基数再按成交下浮率计算含税总价。单个项目最终结算金额=单个项目结算审核造价×（1—投标下浮率</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%）×（1+增值税税率）</w:t>
      </w:r>
    </w:p>
    <w:p w14:paraId="6ADA47D8">
      <w:pPr>
        <w:pStyle w:val="5"/>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6.</w:t>
      </w: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 xml:space="preserve"> 各类</w:t>
      </w:r>
      <w:r>
        <w:rPr>
          <w:rFonts w:hint="eastAsia"/>
          <w:b/>
          <w:bCs/>
          <w:color w:val="000000" w:themeColor="text1"/>
          <w:highlight w:val="none"/>
          <w:lang w:val="en-US" w:eastAsia="zh-CN"/>
          <w14:textFill>
            <w14:solidFill>
              <w14:schemeClr w14:val="tx1"/>
            </w14:solidFill>
          </w14:textFill>
        </w:rPr>
        <w:t>费用</w:t>
      </w:r>
      <w:r>
        <w:rPr>
          <w:rFonts w:hint="eastAsia"/>
          <w:b/>
          <w:bCs/>
          <w:color w:val="000000" w:themeColor="text1"/>
          <w:highlight w:val="none"/>
          <w14:textFill>
            <w14:solidFill>
              <w14:schemeClr w14:val="tx1"/>
            </w14:solidFill>
          </w14:textFill>
        </w:rPr>
        <w:t>结算原则</w:t>
      </w:r>
    </w:p>
    <w:p w14:paraId="030E9129">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 人工、机械台班价格执行施工期广州市造价站公布的造价信息，主要材料和设备价格：(1)合同《主要材料推荐品牌表》中有的材料，其价格优先参照《广州地区建设工程材料（设备）厂商价格信息》执行，厂商价没有的按照《广州地区建设工程常用材料税前综合价格》执行，综合价格中也没有的双方协商确定；(2)《主要材料推荐品牌表》中没有的材料，其价格优先执行《广州地区建设工程常用材料税前综合价格》，综合价格中没有的参照《广州地区建设工程材料（设备）厂商价格信息》执行，厂商价中也没有的双方协商确定；（3）对于用量较多，需要在原合同《主要材料推荐品牌表》中增加补充推荐品牌的材料，由施工单位草拟，甲方主管部门审核。审核完成后按（1）的原则执行。</w:t>
      </w:r>
    </w:p>
    <w:p w14:paraId="6720B8C5">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.2赶工措施费计取条件：(1)国家法定节假日安排的施工项目；(2)经项目负责人许可,确实有必要在夜间施工(18:00后)的项目；(3)突发抢修、赶工施工、扰乱原计划安排施工的项目。</w:t>
      </w:r>
    </w:p>
    <w:p w14:paraId="0FAEB965">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.3 夜间施工增加费计取条件：经项目负责人许可有必要进行夜间施工的项目。</w:t>
      </w:r>
    </w:p>
    <w:p w14:paraId="09E008F4">
      <w:pPr>
        <w:pStyle w:val="5"/>
        <w:bidi w:val="0"/>
        <w:rPr>
          <w:i w:val="0"/>
          <w:strike w:val="0"/>
          <w:color w:val="000000" w:themeColor="text1"/>
          <w:spacing w:val="0"/>
          <w:highlight w:val="none"/>
          <w:u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.4 人工费补贴签证情形：(1)因院方原因造成窝工的项目；(2)当施工耗材较少,以人工为主的项目；(3)特殊材料需多处寻找采购定制的项目；(4)</w:t>
      </w:r>
      <w:r>
        <w:rPr>
          <w:i w:val="0"/>
          <w:strike w:val="0"/>
          <w:color w:val="000000" w:themeColor="text1"/>
          <w:spacing w:val="0"/>
          <w:highlight w:val="none"/>
          <w:u w:val="none"/>
          <w14:textFill>
            <w14:solidFill>
              <w14:schemeClr w14:val="tx1"/>
            </w14:solidFill>
          </w14:textFill>
        </w:rPr>
        <w:t>需施工单位耗时清理工作面的项目。符合补工条件的，按现场实际参与人数、工种及施工时长给予签证，现场管理人员须加强监督，做好图片、录像记录备查。人工补贴按定额站发布劳务日工资价格表并区分工种结算:工资有上下限范围的，取甚下限。工作时间8小时为1个工日:4小时以内(含4小时)按半个工日，4小时以上至8小时以内(含8小时)按1个工日。</w:t>
      </w:r>
    </w:p>
    <w:p w14:paraId="229D4D3F">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.5 需找厂家特殊订制采购的材料且市场无法询价的项目，施工单位提供真实有效的发票、采购合同、送货单、货款收据、网上订单依据、支付凭证等证明材料，并与结算资料一并送审，采购人根据签证、证明材料进行审核。</w:t>
      </w:r>
    </w:p>
    <w:p w14:paraId="55803371">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.6 特殊项目工程量占比少、材料品种杂、非标准材料的施工项目，材料采购价高于市场价的项目，在结算阶段按实际发生的消耗量进行工程量计算。</w:t>
      </w:r>
    </w:p>
    <w:p w14:paraId="71BB8A21">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.7 施工单位送审结算时需把建筑与装饰工程和安装工程分开单独结算，且需按不同科室的签证内容在送审结算书中作相应的分部，材料综合价以结算周期中间月份为准。</w:t>
      </w:r>
    </w:p>
    <w:p w14:paraId="205CCE7B">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.8 广州地区内：如在广州市内可以采购材料，不再单独给予材料运输费用；广州地区外，如确实特殊材料需在广州市外采购的，适当给予材料运输费，施工单位需提供佐证资料。</w:t>
      </w:r>
    </w:p>
    <w:p w14:paraId="5E53BFB4">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.9 脚手架搭拆费计价办法，应区分开安装和装修分别记取：（1）安装脚手架搭拆费：按《广东省房屋建筑和市政修缮工程综合定额》及《广东省安装工程综合定额》中关于脚手架搭拆费的规定，以分部分项人工费为基数乘以定额中相应系数记取；（2）装修脚手架搭拆费：套用《广东省房屋建筑和市政修缮工程综合定额》的，以分部分项人工费为基数*15%记取，套用《广东省建筑与装饰工程综合定额》的，以分部分项人工费为基数*10%记取；（3）需考虑脚手架搭设费的项目，项目管理班组需在签证单备注说明。</w:t>
      </w:r>
    </w:p>
    <w:p w14:paraId="0A37494C">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.10 材料二次运输费计取条件：二次运输费以300m计取。</w:t>
      </w:r>
    </w:p>
    <w:p w14:paraId="16DA5F4E">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.11 在施工范围内边生产边施工的工程，按该项工程的人工费增加10%作为工效降效费，约定记取范围如下：</w:t>
      </w:r>
    </w:p>
    <w:p w14:paraId="597CE63C">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（1）强电房内：电房内配电装置都是正在供电的设备，施工时需要保护设备及人员安全。</w:t>
      </w:r>
    </w:p>
    <w:p w14:paraId="4BC49B56">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（2）公共道路、区域上施工：车辆、人员往来频繁，施工时需要避让过往车辆和行人，影响施工的持续性。</w:t>
      </w:r>
    </w:p>
    <w:p w14:paraId="0CFA5580">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法定工作日或者非法定工作日，但有办公人员正常上班和营业的门诊、办公区域内施工：办公人员和办公室设备多，施工时顾及办公人员及设备安全、保证不影响办公人员，施工时尽量不使用噪音大的电工工具，用手动工具，避免发出噪音。</w:t>
      </w:r>
    </w:p>
    <w:p w14:paraId="52EDAE09">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（4）给排水管道不能关停，带水操作的施工项目：管道阀门不能关停，排水管道不能停止污水排放，带水操作，影响施工效率。</w:t>
      </w:r>
    </w:p>
    <w:p w14:paraId="36ECC59F">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（5）病房内施工：施工时尽量不使用噪音大的电工工具，用手动工具，避免发出噪音影响病人及病人家属休息。</w:t>
      </w:r>
    </w:p>
    <w:p w14:paraId="471F0277">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.12 在有害身体健康（按有关部门的规定）的场所内施工的工程，按该部分工程的人工费增加10%作为工效降效费，约定记取范围：污水处理站内、污水井内、厕所及化粪池内，具体由项目负责人签证确认。</w:t>
      </w:r>
    </w:p>
    <w:p w14:paraId="6B0638C8">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.13 在洞内、地下室内、库内或暗室内（需要照明）施工项目，该部分工程的人工费增加按40%作为人工降效及照明灯费用，（1）施工时没有自然采光，需要照明灯辅助暗室施工项目（2）设备层内空间狭小的地方，需弯腰施工项目。</w:t>
      </w:r>
    </w:p>
    <w:p w14:paraId="02021339">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.14 零星修缮工程在施工过程中，单项工程量零散、形状异形，实际施工材料损耗量远大于定额材料损耗量，材料损耗率按5%-8%范围参考，需记取材料损耗量项目，项目负责人必须要注明记取材料损耗量事由及原因。</w:t>
      </w:r>
    </w:p>
    <w:p w14:paraId="70C23B84">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.15 关于机械台班签证办法：（1）机械台班4个小时内按半个台班计算，4个小时以上8小时以内按一个台班计算（2）设备租赁费参照当前月份广州市建设工程造价管理站发布设备租赁信息，如未有设备型号租赁信息，则根据相关型号进行折算。</w:t>
      </w:r>
    </w:p>
    <w:p w14:paraId="3B0C890C">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.16 垃圾废料外运计价办法，甲乙双方一致同意垃圾废料外运按“包干价方式结算”，即清理1车垃圾费包含：装卸车台班费、货车台班费、垃圾排放费、人工辅助搬运费、垃圾分类费用，</w:t>
      </w:r>
      <w:r>
        <w:rPr>
          <w:rFonts w:hint="eastAsia"/>
          <w:color w:val="000000" w:themeColor="text1"/>
          <w:highlight w:val="none"/>
          <w:lang w:val="en-US" w:eastAsia="zh-CN"/>
          <w14:textFill>
            <w14:solidFill>
              <w14:schemeClr w14:val="tx1"/>
            </w14:solidFill>
          </w14:textFill>
        </w:rPr>
        <w:t>5吨车</w:t>
      </w:r>
      <w:r>
        <w:rPr>
          <w:rFonts w:hint="eastAsia"/>
          <w:color w:val="000000" w:themeColor="text1"/>
          <w:highlight w:val="none"/>
          <w14:textFill>
            <w14:solidFill>
              <w14:schemeClr w14:val="tx1"/>
            </w14:solidFill>
          </w14:textFill>
        </w:rPr>
        <w:t>包干单价暂按1300元/车结算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8吨车暂按1800元/车结算</w:t>
      </w:r>
      <w:r>
        <w:rPr>
          <w:rFonts w:hint="eastAsia"/>
          <w:color w:val="000000" w:themeColor="text1"/>
          <w:highlight w:val="none"/>
          <w14:textFill>
            <w14:solidFill>
              <w14:schemeClr w14:val="tx1"/>
            </w14:solidFill>
          </w14:textFill>
        </w:rPr>
        <w:t>。</w:t>
      </w:r>
    </w:p>
    <w:p w14:paraId="39EABB43">
      <w:pPr>
        <w:pStyle w:val="5"/>
        <w:pBdr>
          <w:bottom w:val="none" w:color="auto" w:sz="0" w:space="0"/>
        </w:pBd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.17 应甲方项目要求，乙方提供项目装修效果图、改造效果图等效果图，要求清晰美观且比例与现场实际情况一致，体现项目实施效果。此项费用单独结算。</w:t>
      </w:r>
    </w:p>
    <w:p w14:paraId="0C8ED6BB">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.18 对于需计取脚手架措施费、棚内增加费人工费*25%、夜间施工费的项目增加人工费*20%，由项目负责人根据现场实际情况进行签证确认。</w:t>
      </w:r>
    </w:p>
    <w:p w14:paraId="4059D013">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6.2.19 补充增加工程量抽查条款：施工单位送审结算资料后，采购人组织项目负责人、科室造价审核员和科室经济审核岗对施工单位送审工程量进行随机抽查，抽查比例不小于送审金额的20%，一审阶段根据抽查项目审减情况进行整体审核，具体规定如下。结合抽查审减率进行阶梯性考核，抽查部分审减率为X%，</w:t>
      </w:r>
    </w:p>
    <w:p w14:paraId="7F7BCEF5">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①若X%≤2.5%，该期全部送审结算核减X%；</w:t>
      </w:r>
    </w:p>
    <w:p w14:paraId="5A6206BA">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②若2.5%＜X%≤5%，在前述基础上，超出2.5%部分按1.5倍核减，即该期全部送审结算（2.5+1.5*（X-2.5））%；</w:t>
      </w:r>
    </w:p>
    <w:p w14:paraId="70475590">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③若X%＞5%，在前述基础上，超出5%部分进行2倍核减，即该期全部送审结算核减（2.5+1.5*（5-2.5）+2*（X-5））%；</w:t>
      </w:r>
    </w:p>
    <w:p w14:paraId="03F2050D">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上述抽查和核减过程越秀、黄埔院区各自独立开展并计算、核减。</w:t>
      </w:r>
    </w:p>
    <w:p w14:paraId="44292DDE">
      <w:pPr>
        <w:pStyle w:val="5"/>
        <w:pBdr>
          <w:bottom w:val="none" w:color="auto" w:sz="0" w:space="0"/>
        </w:pBdr>
        <w:bidi w:val="0"/>
        <w:rPr>
          <w:rFonts w:hint="eastAsia"/>
          <w:color w:val="000000" w:themeColor="text1"/>
          <w:highlight w:val="none"/>
          <w14:textFill>
            <w14:solidFill>
              <w14:schemeClr w14:val="tx1"/>
            </w14:solidFill>
          </w14:textFill>
        </w:rPr>
      </w:pPr>
    </w:p>
    <w:p w14:paraId="0E49EFF0">
      <w:pPr>
        <w:pStyle w:val="5"/>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6.</w:t>
      </w:r>
      <w:r>
        <w:rPr>
          <w:rFonts w:hint="eastAsia"/>
          <w:b/>
          <w:bCs/>
          <w:color w:val="000000" w:themeColor="text1"/>
          <w:highlight w:val="none"/>
          <w:lang w:val="en-US" w:eastAsia="zh-CN"/>
          <w14:textFill>
            <w14:solidFill>
              <w14:schemeClr w14:val="tx1"/>
            </w14:solidFill>
          </w14:textFill>
        </w:rPr>
        <w:t>3</w:t>
      </w:r>
      <w:r>
        <w:rPr>
          <w:rFonts w:hint="eastAsia"/>
          <w:b/>
          <w:bCs/>
          <w:color w:val="000000" w:themeColor="text1"/>
          <w:highlight w:val="none"/>
          <w14:textFill>
            <w14:solidFill>
              <w14:schemeClr w14:val="tx1"/>
            </w14:solidFill>
          </w14:textFill>
        </w:rPr>
        <w:t xml:space="preserve"> 付款方式</w:t>
      </w:r>
    </w:p>
    <w:p w14:paraId="7CCBB65F">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竣工验收合格后，</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按季度提出结算并将完整且合格</w:t>
      </w:r>
      <w:r>
        <w:rPr>
          <w:rFonts w:hint="eastAsia"/>
          <w:color w:val="000000" w:themeColor="text1"/>
          <w:highlight w:val="none"/>
          <w:lang w:val="en-US" w:eastAsia="zh-CN"/>
          <w14:textFill>
            <w14:solidFill>
              <w14:schemeClr w14:val="tx1"/>
            </w14:solidFill>
          </w14:textFill>
        </w:rPr>
        <w:t>结算</w:t>
      </w:r>
      <w:r>
        <w:rPr>
          <w:rFonts w:hint="eastAsia"/>
          <w:color w:val="000000" w:themeColor="text1"/>
          <w:highlight w:val="none"/>
          <w14:textFill>
            <w14:solidFill>
              <w14:schemeClr w14:val="tx1"/>
            </w14:solidFill>
          </w14:textFill>
        </w:rPr>
        <w:t>资料送交</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采购人10个工作日内</w:t>
      </w:r>
      <w:r>
        <w:rPr>
          <w:rFonts w:hint="eastAsia"/>
          <w:color w:val="000000" w:themeColor="text1"/>
          <w:highlight w:val="none"/>
          <w14:textFill>
            <w14:solidFill>
              <w14:schemeClr w14:val="tx1"/>
            </w14:solidFill>
          </w14:textFill>
        </w:rPr>
        <w:t>完成初审，初审意见反馈</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同意且开具发票后</w:t>
      </w:r>
      <w:r>
        <w:rPr>
          <w:rFonts w:hint="eastAsia"/>
          <w:color w:val="000000" w:themeColor="text1"/>
          <w:highlight w:val="none"/>
          <w:lang w:val="en-US" w:eastAsia="zh-CN"/>
          <w14:textFill>
            <w14:solidFill>
              <w14:schemeClr w14:val="tx1"/>
            </w14:solidFill>
          </w14:textFill>
        </w:rPr>
        <w:t>15个工作日</w:t>
      </w:r>
      <w:r>
        <w:rPr>
          <w:rFonts w:hint="eastAsia"/>
          <w:color w:val="000000" w:themeColor="text1"/>
          <w:highlight w:val="none"/>
          <w14:textFill>
            <w14:solidFill>
              <w14:schemeClr w14:val="tx1"/>
            </w14:solidFill>
          </w14:textFill>
        </w:rPr>
        <w:t>支付</w:t>
      </w:r>
      <w:r>
        <w:rPr>
          <w:rFonts w:hint="eastAsia"/>
          <w:color w:val="000000" w:themeColor="text1"/>
          <w:highlight w:val="none"/>
          <w:lang w:val="en-US" w:eastAsia="zh-CN"/>
          <w14:textFill>
            <w14:solidFill>
              <w14:schemeClr w14:val="tx1"/>
            </w14:solidFill>
          </w14:textFill>
        </w:rPr>
        <w:t>至</w:t>
      </w:r>
      <w:r>
        <w:rPr>
          <w:rFonts w:hint="eastAsia"/>
          <w:color w:val="000000" w:themeColor="text1"/>
          <w:highlight w:val="none"/>
          <w14:textFill>
            <w14:solidFill>
              <w14:schemeClr w14:val="tx1"/>
            </w14:solidFill>
          </w14:textFill>
        </w:rPr>
        <w:t>初审金额</w:t>
      </w:r>
      <w:r>
        <w:rPr>
          <w:rFonts w:hint="eastAsia"/>
          <w:color w:val="000000" w:themeColor="text1"/>
          <w:highlight w:val="none"/>
          <w:lang w:val="en-US" w:eastAsia="zh-CN"/>
          <w14:textFill>
            <w14:solidFill>
              <w14:schemeClr w14:val="tx1"/>
            </w14:solidFill>
          </w14:textFill>
        </w:rPr>
        <w:t>的3</w:t>
      </w:r>
      <w:r>
        <w:rPr>
          <w:rFonts w:hint="eastAsia"/>
          <w:color w:val="000000" w:themeColor="text1"/>
          <w:highlight w:val="none"/>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(能否提升比例至50%）</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完成结算终审定案后，在</w:t>
      </w:r>
      <w:r>
        <w:rPr>
          <w:rFonts w:hint="eastAsia"/>
          <w:color w:val="000000" w:themeColor="text1"/>
          <w:highlight w:val="none"/>
          <w:lang w:val="en-US" w:eastAsia="zh-CN"/>
          <w14:textFill>
            <w14:solidFill>
              <w14:schemeClr w14:val="tx1"/>
            </w14:solidFill>
          </w14:textFill>
        </w:rPr>
        <w:t>15个工作日</w:t>
      </w:r>
      <w:r>
        <w:rPr>
          <w:rFonts w:hint="eastAsia"/>
          <w:color w:val="000000" w:themeColor="text1"/>
          <w:highlight w:val="none"/>
          <w14:textFill>
            <w14:solidFill>
              <w14:schemeClr w14:val="tx1"/>
            </w14:solidFill>
          </w14:textFill>
        </w:rPr>
        <w:t>内支付至结算金额的97%，剩余3%作为工程质保金，根据工程质量保修协议（详见附件）支付。</w:t>
      </w:r>
    </w:p>
    <w:p w14:paraId="022091F5">
      <w:pPr>
        <w:pStyle w:val="5"/>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自接到</w:t>
      </w:r>
      <w:r>
        <w:rPr>
          <w:rFonts w:hint="eastAsia"/>
          <w:color w:val="000000" w:themeColor="text1"/>
          <w:highlight w:val="none"/>
          <w:lang w:val="en-US" w:eastAsia="zh-CN"/>
          <w14:textFill>
            <w14:solidFill>
              <w14:schemeClr w14:val="tx1"/>
            </w14:solidFill>
          </w14:textFill>
        </w:rPr>
        <w:t>中标人</w:t>
      </w:r>
      <w:r>
        <w:rPr>
          <w:rFonts w:hint="eastAsia"/>
          <w:color w:val="000000" w:themeColor="text1"/>
          <w:highlight w:val="none"/>
          <w14:textFill>
            <w14:solidFill>
              <w14:schemeClr w14:val="tx1"/>
            </w14:solidFill>
          </w14:textFill>
        </w:rPr>
        <w:t>递交的完整且合格的结算资料90 天内审核完毕，到期未提出异议，视为同意。</w:t>
      </w:r>
    </w:p>
    <w:p w14:paraId="0EE99DAD">
      <w:pPr>
        <w:pStyle w:val="5"/>
        <w:bidi w:val="0"/>
        <w:rPr>
          <w:rFonts w:hint="eastAsia"/>
          <w:color w:val="000000" w:themeColor="text1"/>
          <w:highlight w:val="none"/>
          <w14:textFill>
            <w14:solidFill>
              <w14:schemeClr w14:val="tx1"/>
            </w14:solidFill>
          </w14:textFill>
        </w:rPr>
      </w:pPr>
    </w:p>
    <w:p w14:paraId="3BDB7898">
      <w:pPr>
        <w:pStyle w:val="7"/>
        <w:rPr>
          <w:rFonts w:hint="eastAsia" w:ascii="仿宋" w:hAnsi="仿宋" w:eastAsia="仿宋"/>
          <w:color w:val="000000" w:themeColor="text1"/>
          <w:sz w:val="24"/>
          <w:szCs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7F75765">
      <w:pPr>
        <w:keepNext w:val="0"/>
        <w:keepLines w:val="0"/>
        <w:pageBreakBefore w:val="0"/>
        <w:widowControl w:val="0"/>
        <w:kinsoku/>
        <w:wordWrap/>
        <w:overflowPunct/>
        <w:topLinePunct w:val="0"/>
        <w:autoSpaceDE/>
        <w:autoSpaceDN/>
        <w:bidi w:val="0"/>
        <w:adjustRightInd w:val="0"/>
        <w:snapToGrid/>
        <w:spacing w:before="157" w:beforeLines="50" w:line="360" w:lineRule="auto"/>
        <w:jc w:val="left"/>
        <w:textAlignment w:val="baseline"/>
        <w:rPr>
          <w:rFonts w:hint="eastAsia" w:ascii="宋体" w:hAnsi="宋体" w:cs="宋体"/>
          <w:b/>
          <w:bCs/>
          <w:color w:val="000000" w:themeColor="text1"/>
          <w:sz w:val="28"/>
          <w:szCs w:val="28"/>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附件1：零星修缮工程服务考核表</w:t>
      </w:r>
    </w:p>
    <w:p w14:paraId="419CF1E1">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baseline"/>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零星修缮工程服务考核表</w:t>
      </w:r>
    </w:p>
    <w:tbl>
      <w:tblPr>
        <w:tblStyle w:val="8"/>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5"/>
        <w:gridCol w:w="1235"/>
        <w:gridCol w:w="5175"/>
        <w:gridCol w:w="1344"/>
      </w:tblGrid>
      <w:tr w14:paraId="6B75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exac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9E6632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37C7F0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考评内容</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7EFCAB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考核对细则</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79F8E2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扣分</w:t>
            </w:r>
            <w:r>
              <w:rPr>
                <w:rFonts w:hint="eastAsia" w:ascii="仿宋" w:hAnsi="仿宋" w:eastAsia="仿宋" w:cs="仿宋"/>
                <w:b/>
                <w:bCs/>
                <w:color w:val="000000" w:themeColor="text1"/>
                <w:sz w:val="21"/>
                <w:szCs w:val="21"/>
                <w:highlight w:val="none"/>
                <w14:textFill>
                  <w14:solidFill>
                    <w14:schemeClr w14:val="tx1"/>
                  </w14:solidFill>
                </w14:textFill>
              </w:rPr>
              <w:t>标准</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/次</w:t>
            </w:r>
          </w:p>
        </w:tc>
      </w:tr>
      <w:tr w14:paraId="617C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exact"/>
          <w:jc w:val="center"/>
        </w:trPr>
        <w:tc>
          <w:tcPr>
            <w:tcW w:w="625" w:type="dxa"/>
            <w:vMerge w:val="restart"/>
            <w:tcBorders>
              <w:left w:val="single" w:color="auto" w:sz="4" w:space="0"/>
              <w:right w:val="single" w:color="auto" w:sz="4" w:space="0"/>
            </w:tcBorders>
            <w:noWrap w:val="0"/>
            <w:vAlign w:val="center"/>
          </w:tcPr>
          <w:p w14:paraId="5858596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1235" w:type="dxa"/>
            <w:vMerge w:val="restart"/>
            <w:tcBorders>
              <w:left w:val="single" w:color="auto" w:sz="4" w:space="0"/>
              <w:right w:val="single" w:color="auto" w:sz="4" w:space="0"/>
            </w:tcBorders>
            <w:noWrap w:val="0"/>
            <w:vAlign w:val="center"/>
          </w:tcPr>
          <w:p w14:paraId="7344536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人员配置</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F10D1F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乙方未按要求为项目经理及工程造价人员</w:t>
            </w:r>
            <w:r>
              <w:rPr>
                <w:rFonts w:hint="eastAsia" w:ascii="仿宋" w:hAnsi="仿宋" w:eastAsia="仿宋" w:cs="仿宋"/>
                <w:color w:val="000000" w:themeColor="text1"/>
                <w:sz w:val="21"/>
                <w:szCs w:val="21"/>
                <w:highlight w:val="none"/>
                <w:lang w:val="en-US" w:eastAsia="zh-CN"/>
                <w14:textFill>
                  <w14:solidFill>
                    <w14:schemeClr w14:val="tx1"/>
                  </w14:solidFill>
                </w14:textFill>
              </w:rPr>
              <w:t>缴纳社保</w:t>
            </w:r>
            <w:r>
              <w:rPr>
                <w:rFonts w:hint="eastAsia" w:ascii="仿宋" w:hAnsi="仿宋" w:eastAsia="仿宋" w:cs="仿宋"/>
                <w:color w:val="000000" w:themeColor="text1"/>
                <w:sz w:val="21"/>
                <w:szCs w:val="21"/>
                <w:highlight w:val="none"/>
                <w14:textFill>
                  <w14:solidFill>
                    <w14:schemeClr w14:val="tx1"/>
                  </w14:solidFill>
                </w14:textFill>
              </w:rPr>
              <w:t>（查验</w:t>
            </w:r>
            <w:r>
              <w:rPr>
                <w:rFonts w:hint="eastAsia" w:ascii="仿宋" w:hAnsi="仿宋" w:eastAsia="仿宋" w:cs="仿宋"/>
                <w:color w:val="000000" w:themeColor="text1"/>
                <w:sz w:val="21"/>
                <w:szCs w:val="21"/>
                <w:highlight w:val="none"/>
                <w:lang w:val="en-US" w:eastAsia="zh-CN"/>
                <w14:textFill>
                  <w14:solidFill>
                    <w14:schemeClr w14:val="tx1"/>
                  </w14:solidFill>
                </w14:textFill>
              </w:rPr>
              <w:t>缴纳凭证</w:t>
            </w:r>
            <w:r>
              <w:rPr>
                <w:rFonts w:hint="eastAsia" w:ascii="仿宋" w:hAnsi="仿宋" w:eastAsia="仿宋" w:cs="仿宋"/>
                <w:color w:val="000000" w:themeColor="text1"/>
                <w:sz w:val="21"/>
                <w:szCs w:val="21"/>
                <w:highlight w:val="none"/>
                <w14:textFill>
                  <w14:solidFill>
                    <w14:schemeClr w14:val="tx1"/>
                  </w14:solidFill>
                </w14:textFill>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DA2EDF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p>
        </w:tc>
      </w:tr>
      <w:tr w14:paraId="3534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8" w:hRule="exact"/>
          <w:jc w:val="center"/>
        </w:trPr>
        <w:tc>
          <w:tcPr>
            <w:tcW w:w="625" w:type="dxa"/>
            <w:vMerge w:val="continue"/>
            <w:tcBorders>
              <w:left w:val="single" w:color="auto" w:sz="4" w:space="0"/>
              <w:right w:val="single" w:color="auto" w:sz="4" w:space="0"/>
            </w:tcBorders>
            <w:noWrap w:val="0"/>
            <w:vAlign w:val="center"/>
          </w:tcPr>
          <w:p w14:paraId="1CE6CC8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4B3BB9B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63C818C8">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项目经理不具备</w:t>
            </w:r>
            <w:r>
              <w:rPr>
                <w:rFonts w:hint="eastAsia" w:ascii="仿宋" w:hAnsi="仿宋" w:eastAsia="仿宋" w:cs="仿宋"/>
                <w:color w:val="000000" w:themeColor="text1"/>
                <w:sz w:val="21"/>
                <w:szCs w:val="21"/>
                <w:highlight w:val="none"/>
                <w:lang w:val="en-US" w:eastAsia="zh-CN"/>
                <w14:textFill>
                  <w14:solidFill>
                    <w14:schemeClr w14:val="tx1"/>
                  </w14:solidFill>
                </w14:textFill>
              </w:rPr>
              <w:t>与</w:t>
            </w:r>
            <w:r>
              <w:rPr>
                <w:rFonts w:hint="eastAsia" w:ascii="仿宋" w:hAnsi="仿宋" w:eastAsia="仿宋" w:cs="仿宋"/>
                <w:color w:val="000000" w:themeColor="text1"/>
                <w:sz w:val="21"/>
                <w:szCs w:val="21"/>
                <w:highlight w:val="none"/>
                <w14:textFill>
                  <w14:solidFill>
                    <w14:schemeClr w14:val="tx1"/>
                  </w14:solidFill>
                </w14:textFill>
              </w:rPr>
              <w:t>合同要求一致</w:t>
            </w:r>
            <w:r>
              <w:rPr>
                <w:rFonts w:hint="eastAsia" w:ascii="仿宋" w:hAnsi="仿宋" w:eastAsia="仿宋" w:cs="仿宋"/>
                <w:color w:val="000000" w:themeColor="text1"/>
                <w:sz w:val="21"/>
                <w:szCs w:val="21"/>
                <w:highlight w:val="none"/>
                <w:lang w:val="en-US" w:eastAsia="zh-CN"/>
                <w14:textFill>
                  <w14:solidFill>
                    <w14:schemeClr w14:val="tx1"/>
                  </w14:solidFill>
                </w14:textFill>
              </w:rPr>
              <w:t>的工程管理能力</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配合度差，技术能力不满足甲方要求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6B9C09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p>
        </w:tc>
      </w:tr>
      <w:tr w14:paraId="7E7D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exact"/>
          <w:jc w:val="center"/>
        </w:trPr>
        <w:tc>
          <w:tcPr>
            <w:tcW w:w="625" w:type="dxa"/>
            <w:vMerge w:val="continue"/>
            <w:tcBorders>
              <w:left w:val="single" w:color="auto" w:sz="4" w:space="0"/>
              <w:right w:val="single" w:color="auto" w:sz="4" w:space="0"/>
            </w:tcBorders>
            <w:noWrap w:val="0"/>
            <w:vAlign w:val="center"/>
          </w:tcPr>
          <w:p w14:paraId="67419BF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1B8A90A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5D46579C">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作业人员未持有效证照（电工、焊工等）或人证不符</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2AB2D6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p>
        </w:tc>
      </w:tr>
      <w:tr w14:paraId="2909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0" w:hRule="exact"/>
          <w:jc w:val="center"/>
        </w:trPr>
        <w:tc>
          <w:tcPr>
            <w:tcW w:w="625" w:type="dxa"/>
            <w:vMerge w:val="continue"/>
            <w:tcBorders>
              <w:left w:val="single" w:color="auto" w:sz="4" w:space="0"/>
              <w:bottom w:val="single" w:color="auto" w:sz="4" w:space="0"/>
              <w:right w:val="single" w:color="auto" w:sz="4" w:space="0"/>
            </w:tcBorders>
            <w:noWrap w:val="0"/>
            <w:vAlign w:val="center"/>
          </w:tcPr>
          <w:p w14:paraId="5E5528E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bottom w:val="single" w:color="auto" w:sz="4" w:space="0"/>
              <w:right w:val="single" w:color="auto" w:sz="4" w:space="0"/>
            </w:tcBorders>
            <w:noWrap w:val="0"/>
            <w:vAlign w:val="center"/>
          </w:tcPr>
          <w:p w14:paraId="5DEF039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24E8285">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乙方在未征求甲方同意更换项目经理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4E2D18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p>
        </w:tc>
      </w:tr>
      <w:tr w14:paraId="568D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exact"/>
          <w:jc w:val="center"/>
        </w:trPr>
        <w:tc>
          <w:tcPr>
            <w:tcW w:w="625" w:type="dxa"/>
            <w:vMerge w:val="restart"/>
            <w:tcBorders>
              <w:top w:val="single" w:color="auto" w:sz="4" w:space="0"/>
              <w:left w:val="single" w:color="auto" w:sz="4" w:space="0"/>
              <w:right w:val="single" w:color="auto" w:sz="4" w:space="0"/>
            </w:tcBorders>
            <w:noWrap w:val="0"/>
            <w:vAlign w:val="center"/>
          </w:tcPr>
          <w:p w14:paraId="54C563F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235" w:type="dxa"/>
            <w:vMerge w:val="restart"/>
            <w:tcBorders>
              <w:left w:val="single" w:color="auto" w:sz="4" w:space="0"/>
              <w:right w:val="single" w:color="auto" w:sz="4" w:space="0"/>
            </w:tcBorders>
            <w:noWrap w:val="0"/>
            <w:vAlign w:val="center"/>
          </w:tcPr>
          <w:p w14:paraId="1AB8F65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服务响应</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57E93B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接到</w:t>
            </w:r>
            <w:r>
              <w:rPr>
                <w:rFonts w:hint="eastAsia" w:ascii="仿宋" w:hAnsi="仿宋" w:eastAsia="仿宋" w:cs="仿宋"/>
                <w:color w:val="000000" w:themeColor="text1"/>
                <w:sz w:val="21"/>
                <w:szCs w:val="21"/>
                <w:highlight w:val="none"/>
                <w:lang w:val="en-US" w:eastAsia="zh-CN"/>
                <w14:textFill>
                  <w14:solidFill>
                    <w14:schemeClr w14:val="tx1"/>
                  </w14:solidFill>
                </w14:textFill>
              </w:rPr>
              <w:t>抢修</w:t>
            </w:r>
            <w:r>
              <w:rPr>
                <w:rFonts w:hint="eastAsia" w:ascii="仿宋" w:hAnsi="仿宋" w:eastAsia="仿宋" w:cs="仿宋"/>
                <w:color w:val="000000" w:themeColor="text1"/>
                <w:sz w:val="21"/>
                <w:szCs w:val="21"/>
                <w:highlight w:val="none"/>
                <w14:textFill>
                  <w14:solidFill>
                    <w14:schemeClr w14:val="tx1"/>
                  </w14:solidFill>
                </w14:textFill>
              </w:rPr>
              <w:t>任务后，</w:t>
            </w:r>
            <w:r>
              <w:rPr>
                <w:rFonts w:hint="eastAsia" w:ascii="仿宋" w:hAnsi="仿宋" w:eastAsia="仿宋" w:cs="仿宋"/>
                <w:color w:val="000000" w:themeColor="text1"/>
                <w:sz w:val="21"/>
                <w:szCs w:val="21"/>
                <w:highlight w:val="none"/>
                <w:lang w:val="en-US" w:eastAsia="zh-CN"/>
                <w14:textFill>
                  <w14:solidFill>
                    <w14:schemeClr w14:val="tx1"/>
                  </w14:solidFill>
                </w14:textFill>
              </w:rPr>
              <w:t>未能在</w:t>
            </w:r>
            <w:r>
              <w:rPr>
                <w:rFonts w:hint="eastAsia" w:ascii="仿宋" w:hAnsi="仿宋" w:eastAsia="仿宋" w:cs="仿宋"/>
                <w:color w:val="000000" w:themeColor="text1"/>
                <w:sz w:val="21"/>
                <w:szCs w:val="21"/>
                <w:highlight w:val="none"/>
                <w14:textFill>
                  <w14:solidFill>
                    <w14:schemeClr w14:val="tx1"/>
                  </w14:solidFill>
                </w14:textFill>
              </w:rPr>
              <w:t>30分钟内</w:t>
            </w:r>
            <w:r>
              <w:rPr>
                <w:rFonts w:hint="eastAsia" w:ascii="仿宋" w:hAnsi="仿宋" w:eastAsia="仿宋" w:cs="仿宋"/>
                <w:color w:val="000000" w:themeColor="text1"/>
                <w:sz w:val="21"/>
                <w:szCs w:val="21"/>
                <w:highlight w:val="none"/>
                <w:lang w:val="en-US" w:eastAsia="zh-CN"/>
                <w14:textFill>
                  <w14:solidFill>
                    <w14:schemeClr w14:val="tx1"/>
                  </w14:solidFill>
                </w14:textFill>
              </w:rPr>
              <w:t>到达现场</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0651EA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2106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exact"/>
          <w:jc w:val="center"/>
        </w:trPr>
        <w:tc>
          <w:tcPr>
            <w:tcW w:w="625" w:type="dxa"/>
            <w:vMerge w:val="continue"/>
            <w:tcBorders>
              <w:left w:val="single" w:color="auto" w:sz="4" w:space="0"/>
              <w:right w:val="single" w:color="auto" w:sz="4" w:space="0"/>
            </w:tcBorders>
            <w:noWrap w:val="0"/>
            <w:vAlign w:val="center"/>
          </w:tcPr>
          <w:p w14:paraId="237E08B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13D6CF9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16F8C39F">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接到申请单后，未能在合同约定时间内完成现场踏勘，未能在约定时间内提交施工方案和预算</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D01DED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0CA4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exact"/>
          <w:jc w:val="center"/>
        </w:trPr>
        <w:tc>
          <w:tcPr>
            <w:tcW w:w="625" w:type="dxa"/>
            <w:vMerge w:val="continue"/>
            <w:tcBorders>
              <w:left w:val="single" w:color="auto" w:sz="4" w:space="0"/>
              <w:right w:val="single" w:color="auto" w:sz="4" w:space="0"/>
            </w:tcBorders>
            <w:noWrap w:val="0"/>
            <w:vAlign w:val="center"/>
          </w:tcPr>
          <w:p w14:paraId="6E8A7AF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3C04370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01896C8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沟通响应迟缓，影响工程协调推进</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400A25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358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exact"/>
          <w:jc w:val="center"/>
        </w:trPr>
        <w:tc>
          <w:tcPr>
            <w:tcW w:w="625" w:type="dxa"/>
            <w:vMerge w:val="restart"/>
            <w:tcBorders>
              <w:top w:val="single" w:color="auto" w:sz="4" w:space="0"/>
              <w:left w:val="single" w:color="auto" w:sz="4" w:space="0"/>
              <w:right w:val="single" w:color="auto" w:sz="4" w:space="0"/>
            </w:tcBorders>
            <w:noWrap w:val="0"/>
            <w:vAlign w:val="center"/>
          </w:tcPr>
          <w:p w14:paraId="0C51A55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235" w:type="dxa"/>
            <w:vMerge w:val="restart"/>
            <w:tcBorders>
              <w:top w:val="single" w:color="auto" w:sz="4" w:space="0"/>
              <w:left w:val="single" w:color="auto" w:sz="4" w:space="0"/>
              <w:right w:val="single" w:color="auto" w:sz="4" w:space="0"/>
            </w:tcBorders>
            <w:noWrap w:val="0"/>
            <w:vAlign w:val="center"/>
          </w:tcPr>
          <w:p w14:paraId="61C4D0E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工程</w:t>
            </w:r>
            <w:r>
              <w:rPr>
                <w:rFonts w:hint="eastAsia" w:ascii="仿宋" w:hAnsi="仿宋" w:eastAsia="仿宋" w:cs="仿宋"/>
                <w:color w:val="000000" w:themeColor="text1"/>
                <w:sz w:val="21"/>
                <w:szCs w:val="21"/>
                <w:highlight w:val="none"/>
                <w14:textFill>
                  <w14:solidFill>
                    <w14:schemeClr w14:val="tx1"/>
                  </w14:solidFill>
                </w14:textFill>
              </w:rPr>
              <w:t>质量</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CC08754">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使用材料与报审不符、无合格证明或存在以次充好</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49828F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10C6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9" w:hRule="exact"/>
          <w:jc w:val="center"/>
        </w:trPr>
        <w:tc>
          <w:tcPr>
            <w:tcW w:w="625" w:type="dxa"/>
            <w:vMerge w:val="continue"/>
            <w:tcBorders>
              <w:left w:val="single" w:color="auto" w:sz="4" w:space="0"/>
              <w:right w:val="single" w:color="auto" w:sz="4" w:space="0"/>
            </w:tcBorders>
            <w:noWrap w:val="0"/>
            <w:vAlign w:val="center"/>
          </w:tcPr>
          <w:p w14:paraId="51C62BE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4581898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57FFF8F5">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施工工艺不符合规范或图纸要求，存在偷工减料</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2E8703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5450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exact"/>
          <w:jc w:val="center"/>
        </w:trPr>
        <w:tc>
          <w:tcPr>
            <w:tcW w:w="625" w:type="dxa"/>
            <w:vMerge w:val="continue"/>
            <w:tcBorders>
              <w:left w:val="single" w:color="auto" w:sz="4" w:space="0"/>
              <w:right w:val="single" w:color="auto" w:sz="4" w:space="0"/>
            </w:tcBorders>
            <w:noWrap w:val="0"/>
            <w:vAlign w:val="center"/>
          </w:tcPr>
          <w:p w14:paraId="1CC6FF0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0D04EDE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347673DE">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首次验收不合格，每项扣3分；整改后仍不合格或未按时完成</w:t>
            </w:r>
            <w:r>
              <w:rPr>
                <w:rFonts w:hint="eastAsia" w:ascii="仿宋" w:hAnsi="仿宋" w:eastAsia="仿宋" w:cs="仿宋"/>
                <w:color w:val="000000" w:themeColor="text1"/>
                <w:sz w:val="21"/>
                <w:szCs w:val="21"/>
                <w:highlight w:val="none"/>
                <w:lang w:val="en-US" w:eastAsia="zh-CN"/>
                <w14:textFill>
                  <w14:solidFill>
                    <w14:schemeClr w14:val="tx1"/>
                  </w14:solidFill>
                </w14:textFill>
              </w:rPr>
              <w:t>整改</w:t>
            </w:r>
            <w:r>
              <w:rPr>
                <w:rFonts w:hint="eastAsia" w:ascii="仿宋" w:hAnsi="仿宋" w:eastAsia="仿宋" w:cs="仿宋"/>
                <w:color w:val="000000" w:themeColor="text1"/>
                <w:sz w:val="21"/>
                <w:szCs w:val="21"/>
                <w:highlight w:val="none"/>
                <w14:textFill>
                  <w14:solidFill>
                    <w14:schemeClr w14:val="tx1"/>
                  </w14:solidFill>
                </w14:textFill>
              </w:rPr>
              <w:t>，每项扣</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B9A50F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3-5分</w:t>
            </w:r>
          </w:p>
        </w:tc>
      </w:tr>
      <w:tr w14:paraId="5C67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exact"/>
          <w:jc w:val="center"/>
        </w:trPr>
        <w:tc>
          <w:tcPr>
            <w:tcW w:w="625" w:type="dxa"/>
            <w:vMerge w:val="restart"/>
            <w:tcBorders>
              <w:top w:val="single" w:color="auto" w:sz="4" w:space="0"/>
              <w:left w:val="single" w:color="auto" w:sz="4" w:space="0"/>
              <w:right w:val="single" w:color="auto" w:sz="4" w:space="0"/>
            </w:tcBorders>
            <w:noWrap w:val="0"/>
            <w:vAlign w:val="center"/>
          </w:tcPr>
          <w:p w14:paraId="26E5CBA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235" w:type="dxa"/>
            <w:vMerge w:val="restart"/>
            <w:tcBorders>
              <w:top w:val="single" w:color="auto" w:sz="4" w:space="0"/>
              <w:left w:val="single" w:color="auto" w:sz="4" w:space="0"/>
              <w:right w:val="single" w:color="auto" w:sz="4" w:space="0"/>
            </w:tcBorders>
            <w:noWrap w:val="0"/>
            <w:vAlign w:val="center"/>
          </w:tcPr>
          <w:p w14:paraId="432E3C9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安全与文明施工</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563AEC05">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施工现场人员未按规定穿工作服、戴安全帽，佩戴身份标识卡</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B4EC69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2分</w:t>
            </w:r>
          </w:p>
        </w:tc>
      </w:tr>
      <w:tr w14:paraId="6AEA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exact"/>
          <w:jc w:val="center"/>
        </w:trPr>
        <w:tc>
          <w:tcPr>
            <w:tcW w:w="625" w:type="dxa"/>
            <w:vMerge w:val="continue"/>
            <w:tcBorders>
              <w:left w:val="single" w:color="auto" w:sz="4" w:space="0"/>
              <w:right w:val="single" w:color="auto" w:sz="4" w:space="0"/>
            </w:tcBorders>
            <w:noWrap w:val="0"/>
            <w:vAlign w:val="center"/>
          </w:tcPr>
          <w:p w14:paraId="67F56A2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6A8D6CD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37CF9652">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动火作业时未取得动火证、施工现场未配备有效数量的灭火器</w:t>
            </w:r>
            <w:r>
              <w:rPr>
                <w:rFonts w:hint="eastAsia" w:ascii="仿宋" w:hAnsi="仿宋" w:eastAsia="仿宋" w:cs="仿宋"/>
                <w:color w:val="000000" w:themeColor="text1"/>
                <w:sz w:val="21"/>
                <w:szCs w:val="21"/>
                <w:highlight w:val="none"/>
                <w:lang w:val="en-US" w:eastAsia="zh-CN"/>
                <w14:textFill>
                  <w14:solidFill>
                    <w14:schemeClr w14:val="tx1"/>
                  </w14:solidFill>
                </w14:textFill>
              </w:rPr>
              <w:t>或失效</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动火作业不规范，视情节扣罚5-20分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FAD2CB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5-20分</w:t>
            </w:r>
          </w:p>
        </w:tc>
      </w:tr>
      <w:tr w14:paraId="6678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2" w:hRule="exact"/>
          <w:jc w:val="center"/>
        </w:trPr>
        <w:tc>
          <w:tcPr>
            <w:tcW w:w="625" w:type="dxa"/>
            <w:vMerge w:val="continue"/>
            <w:tcBorders>
              <w:left w:val="single" w:color="auto" w:sz="4" w:space="0"/>
              <w:right w:val="single" w:color="auto" w:sz="4" w:space="0"/>
            </w:tcBorders>
            <w:noWrap w:val="0"/>
            <w:vAlign w:val="center"/>
          </w:tcPr>
          <w:p w14:paraId="624C138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7774EF9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5A24E48F">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未做好粉尘、噪音、异味作业的围蔽、通风与成品保护</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造成不良影响</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BB1E02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014F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exact"/>
          <w:jc w:val="center"/>
        </w:trPr>
        <w:tc>
          <w:tcPr>
            <w:tcW w:w="625" w:type="dxa"/>
            <w:vMerge w:val="continue"/>
            <w:tcBorders>
              <w:left w:val="single" w:color="auto" w:sz="4" w:space="0"/>
              <w:right w:val="single" w:color="auto" w:sz="4" w:space="0"/>
            </w:tcBorders>
            <w:noWrap w:val="0"/>
            <w:vAlign w:val="center"/>
          </w:tcPr>
          <w:p w14:paraId="241BAE6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633EE16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5F6A966">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水电作业及使用电动、电气等工具时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未按规范做好防护保护、接地等安全措施</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2B2CD4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09A8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exact"/>
          <w:jc w:val="center"/>
        </w:trPr>
        <w:tc>
          <w:tcPr>
            <w:tcW w:w="625" w:type="dxa"/>
            <w:vMerge w:val="continue"/>
            <w:tcBorders>
              <w:left w:val="single" w:color="auto" w:sz="4" w:space="0"/>
              <w:right w:val="single" w:color="auto" w:sz="4" w:space="0"/>
            </w:tcBorders>
            <w:noWrap w:val="0"/>
            <w:vAlign w:val="center"/>
          </w:tcPr>
          <w:p w14:paraId="087B656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64D4282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0AFEEE8F">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违反安全操作规程、防火安全规定、环境保护规定等有关要求，产生不良影响，视情节扣罚5-20分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6546D3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5-20分</w:t>
            </w:r>
          </w:p>
        </w:tc>
      </w:tr>
      <w:tr w14:paraId="0A11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exact"/>
          <w:jc w:val="center"/>
        </w:trPr>
        <w:tc>
          <w:tcPr>
            <w:tcW w:w="625" w:type="dxa"/>
            <w:vMerge w:val="continue"/>
            <w:tcBorders>
              <w:left w:val="single" w:color="auto" w:sz="4" w:space="0"/>
              <w:right w:val="single" w:color="auto" w:sz="4" w:space="0"/>
            </w:tcBorders>
            <w:noWrap w:val="0"/>
            <w:vAlign w:val="center"/>
          </w:tcPr>
          <w:p w14:paraId="49F10BE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5B3C275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0E4B4C3D">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未经采购人同意或有关部门批准，随意拆改原建筑物结构及各种设备管线</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23602E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p>
        </w:tc>
      </w:tr>
      <w:tr w14:paraId="562F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6" w:hRule="exact"/>
          <w:jc w:val="center"/>
        </w:trPr>
        <w:tc>
          <w:tcPr>
            <w:tcW w:w="625" w:type="dxa"/>
            <w:vMerge w:val="continue"/>
            <w:tcBorders>
              <w:left w:val="single" w:color="auto" w:sz="4" w:space="0"/>
              <w:right w:val="single" w:color="auto" w:sz="4" w:space="0"/>
            </w:tcBorders>
            <w:noWrap w:val="0"/>
            <w:vAlign w:val="center"/>
          </w:tcPr>
          <w:p w14:paraId="3C5B801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70DEE28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04233F0">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仿宋" w:hAnsi="仿宋" w:eastAsia="仿宋" w:cs="仿宋"/>
                <w:i w:val="0"/>
                <w:iCs w:val="0"/>
                <w:caps w:val="0"/>
                <w:color w:val="000000" w:themeColor="text1"/>
                <w:spacing w:val="0"/>
                <w:sz w:val="21"/>
                <w:szCs w:val="21"/>
                <w:highlight w:val="none"/>
                <w:shd w:val="clear" w:color="auto" w:fill="FFFFFF"/>
                <w14:textFill>
                  <w14:solidFill>
                    <w14:schemeClr w14:val="tx1"/>
                  </w14:solidFill>
                </w14:textFill>
              </w:rPr>
              <w:t>施工影响诊疗秩序、环境卫生或未落实院感防护措施</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D85678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0946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5" w:hRule="exact"/>
          <w:jc w:val="center"/>
        </w:trPr>
        <w:tc>
          <w:tcPr>
            <w:tcW w:w="625" w:type="dxa"/>
            <w:vMerge w:val="continue"/>
            <w:tcBorders>
              <w:left w:val="single" w:color="auto" w:sz="4" w:space="0"/>
              <w:right w:val="single" w:color="auto" w:sz="4" w:space="0"/>
            </w:tcBorders>
            <w:noWrap w:val="0"/>
            <w:vAlign w:val="center"/>
          </w:tcPr>
          <w:p w14:paraId="538AC7F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4D090AD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0E59D68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施工人员行为不规范</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如院内吸烟、喧哗、随地大小便等不文明行为</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2DF6E3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063A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exact"/>
          <w:jc w:val="center"/>
        </w:trPr>
        <w:tc>
          <w:tcPr>
            <w:tcW w:w="625" w:type="dxa"/>
            <w:vMerge w:val="continue"/>
            <w:tcBorders>
              <w:left w:val="single" w:color="auto" w:sz="4" w:space="0"/>
              <w:right w:val="single" w:color="auto" w:sz="4" w:space="0"/>
            </w:tcBorders>
            <w:noWrap w:val="0"/>
            <w:vAlign w:val="center"/>
          </w:tcPr>
          <w:p w14:paraId="189E2A8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5328457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659A786">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施工期间占用消防通道堆放器材和物品，阻碍消防道畅通</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5E5E3C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6753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4" w:hRule="exact"/>
          <w:jc w:val="center"/>
        </w:trPr>
        <w:tc>
          <w:tcPr>
            <w:tcW w:w="625" w:type="dxa"/>
            <w:vMerge w:val="continue"/>
            <w:tcBorders>
              <w:left w:val="single" w:color="auto" w:sz="4" w:space="0"/>
              <w:right w:val="single" w:color="auto" w:sz="4" w:space="0"/>
            </w:tcBorders>
            <w:noWrap w:val="0"/>
            <w:vAlign w:val="center"/>
          </w:tcPr>
          <w:p w14:paraId="11D3AB9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67565D3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65E9F7A4">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w:t>
            </w:r>
            <w:r>
              <w:rPr>
                <w:rFonts w:hint="eastAsia" w:ascii="仿宋" w:hAnsi="仿宋" w:eastAsia="仿宋" w:cs="仿宋"/>
                <w:color w:val="000000" w:themeColor="text1"/>
                <w:sz w:val="21"/>
                <w:szCs w:val="21"/>
                <w:highlight w:val="none"/>
                <w:lang w:val="en-US" w:eastAsia="zh-CN"/>
                <w14:textFill>
                  <w14:solidFill>
                    <w14:schemeClr w14:val="tx1"/>
                  </w14:solidFill>
                </w14:textFill>
              </w:rPr>
              <w:t>完成</w:t>
            </w:r>
            <w:r>
              <w:rPr>
                <w:rFonts w:hint="eastAsia" w:ascii="仿宋" w:hAnsi="仿宋" w:eastAsia="仿宋" w:cs="仿宋"/>
                <w:color w:val="000000" w:themeColor="text1"/>
                <w:sz w:val="21"/>
                <w:szCs w:val="21"/>
                <w:highlight w:val="none"/>
                <w14:textFill>
                  <w14:solidFill>
                    <w14:schemeClr w14:val="tx1"/>
                  </w14:solidFill>
                </w14:textFill>
              </w:rPr>
              <w:t>后，乱扔杂物、施工垃圾未清理或未运至指定地点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产生不良影响</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062D98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549F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exact"/>
          <w:jc w:val="center"/>
        </w:trPr>
        <w:tc>
          <w:tcPr>
            <w:tcW w:w="625" w:type="dxa"/>
            <w:vMerge w:val="continue"/>
            <w:tcBorders>
              <w:left w:val="single" w:color="auto" w:sz="4" w:space="0"/>
              <w:right w:val="single" w:color="auto" w:sz="4" w:space="0"/>
            </w:tcBorders>
            <w:noWrap w:val="0"/>
            <w:vAlign w:val="center"/>
          </w:tcPr>
          <w:p w14:paraId="68AB4B2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5BBA9C5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6E307962">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施工单位未经允许或未办理开工手续的情况下擅自动工、擅自扩大工程量</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F42A3D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4A7A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3" w:hRule="exact"/>
          <w:jc w:val="center"/>
        </w:trPr>
        <w:tc>
          <w:tcPr>
            <w:tcW w:w="625" w:type="dxa"/>
            <w:vMerge w:val="continue"/>
            <w:tcBorders>
              <w:left w:val="single" w:color="auto" w:sz="4" w:space="0"/>
              <w:bottom w:val="single" w:color="auto" w:sz="4" w:space="0"/>
              <w:right w:val="single" w:color="auto" w:sz="4" w:space="0"/>
            </w:tcBorders>
            <w:noWrap w:val="0"/>
            <w:vAlign w:val="center"/>
          </w:tcPr>
          <w:p w14:paraId="278C8F2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bottom w:val="single" w:color="auto" w:sz="4" w:space="0"/>
              <w:right w:val="single" w:color="auto" w:sz="4" w:space="0"/>
            </w:tcBorders>
            <w:noWrap w:val="0"/>
            <w:vAlign w:val="center"/>
          </w:tcPr>
          <w:p w14:paraId="0C4CC33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518B4AD">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仓库材料和物品堆放混乱，占用公共区域、有安全隐患</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2D63D1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5093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exact"/>
          <w:jc w:val="center"/>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14:paraId="030204A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14:paraId="66666BF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施工工期</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4B938F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无合理原因导致工期延误，每逾期一天扣2分</w:t>
            </w:r>
            <w:r>
              <w:rPr>
                <w:rFonts w:hint="eastAsia" w:ascii="仿宋" w:hAnsi="仿宋" w:eastAsia="仿宋" w:cs="仿宋"/>
                <w:color w:val="000000" w:themeColor="text1"/>
                <w:sz w:val="21"/>
                <w:szCs w:val="21"/>
                <w:highlight w:val="none"/>
                <w:lang w:eastAsia="zh-CN"/>
                <w14:textFill>
                  <w14:solidFill>
                    <w14:schemeClr w14:val="tx1"/>
                  </w14:solidFill>
                </w14:textFill>
              </w:rPr>
              <w:t>（单项目扣分上限10分）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62530E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2-10分</w:t>
            </w:r>
          </w:p>
        </w:tc>
      </w:tr>
      <w:tr w14:paraId="6E63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exact"/>
          <w:jc w:val="center"/>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14:paraId="66B321B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14:paraId="1DF28C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F0CCFC0">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因院方需求或客观原因需调整时，不配合协商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C3331F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3分</w:t>
            </w:r>
          </w:p>
        </w:tc>
      </w:tr>
      <w:tr w14:paraId="66EF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3" w:hRule="exact"/>
          <w:jc w:val="center"/>
        </w:trPr>
        <w:tc>
          <w:tcPr>
            <w:tcW w:w="625" w:type="dxa"/>
            <w:vMerge w:val="restart"/>
            <w:tcBorders>
              <w:top w:val="single" w:color="auto" w:sz="4" w:space="0"/>
              <w:left w:val="single" w:color="auto" w:sz="4" w:space="0"/>
              <w:right w:val="single" w:color="auto" w:sz="4" w:space="0"/>
            </w:tcBorders>
            <w:noWrap w:val="0"/>
            <w:vAlign w:val="center"/>
          </w:tcPr>
          <w:p w14:paraId="550FC0E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restart"/>
            <w:tcBorders>
              <w:top w:val="single" w:color="auto" w:sz="4" w:space="0"/>
              <w:left w:val="single" w:color="auto" w:sz="4" w:space="0"/>
              <w:right w:val="single" w:color="auto" w:sz="4" w:space="0"/>
            </w:tcBorders>
            <w:noWrap w:val="0"/>
            <w:vAlign w:val="center"/>
          </w:tcPr>
          <w:p w14:paraId="4C8644B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服务满意度</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6B788496">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接到使用科室有效投诉，经核实属施工方责任</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F5DA6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3FD6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exact"/>
          <w:jc w:val="center"/>
        </w:trPr>
        <w:tc>
          <w:tcPr>
            <w:tcW w:w="625" w:type="dxa"/>
            <w:vMerge w:val="continue"/>
            <w:tcBorders>
              <w:left w:val="single" w:color="auto" w:sz="4" w:space="0"/>
              <w:right w:val="single" w:color="auto" w:sz="4" w:space="0"/>
            </w:tcBorders>
            <w:noWrap w:val="0"/>
            <w:vAlign w:val="center"/>
          </w:tcPr>
          <w:p w14:paraId="7833EC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48CD920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632AE63C">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后勤管理部门对沟通配合、问题解决态度评价为“不满意”</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42346E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7904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exact"/>
          <w:jc w:val="center"/>
        </w:trPr>
        <w:tc>
          <w:tcPr>
            <w:tcW w:w="625" w:type="dxa"/>
            <w:vMerge w:val="continue"/>
            <w:tcBorders>
              <w:left w:val="single" w:color="auto" w:sz="4" w:space="0"/>
              <w:bottom w:val="single" w:color="auto" w:sz="4" w:space="0"/>
              <w:right w:val="single" w:color="auto" w:sz="4" w:space="0"/>
            </w:tcBorders>
            <w:noWrap w:val="0"/>
            <w:vAlign w:val="center"/>
          </w:tcPr>
          <w:p w14:paraId="68638C8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bottom w:val="single" w:color="auto" w:sz="4" w:space="0"/>
              <w:right w:val="single" w:color="auto" w:sz="4" w:space="0"/>
            </w:tcBorders>
            <w:noWrap w:val="0"/>
            <w:vAlign w:val="center"/>
          </w:tcPr>
          <w:p w14:paraId="350F11A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4BFE290">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着装不整齐，待人不礼貌</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沟通态度差引发投诉</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7B4551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014A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7" w:hRule="exact"/>
          <w:jc w:val="center"/>
        </w:trPr>
        <w:tc>
          <w:tcPr>
            <w:tcW w:w="625" w:type="dxa"/>
            <w:vMerge w:val="restart"/>
            <w:tcBorders>
              <w:top w:val="single" w:color="auto" w:sz="4" w:space="0"/>
              <w:left w:val="single" w:color="auto" w:sz="4" w:space="0"/>
              <w:right w:val="single" w:color="auto" w:sz="4" w:space="0"/>
            </w:tcBorders>
            <w:noWrap w:val="0"/>
            <w:vAlign w:val="center"/>
          </w:tcPr>
          <w:p w14:paraId="7C50EDA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restart"/>
            <w:tcBorders>
              <w:top w:val="single" w:color="auto" w:sz="4" w:space="0"/>
              <w:left w:val="single" w:color="auto" w:sz="4" w:space="0"/>
              <w:right w:val="single" w:color="auto" w:sz="4" w:space="0"/>
            </w:tcBorders>
            <w:noWrap w:val="0"/>
            <w:vAlign w:val="center"/>
          </w:tcPr>
          <w:p w14:paraId="2E51FC7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结算及资料</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FD6E749">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default"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未按照合同要求提交施工佐证材料，如材料合格证、施工照片、隐蔽验收记录等</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61DE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44AD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exact"/>
          <w:jc w:val="center"/>
        </w:trPr>
        <w:tc>
          <w:tcPr>
            <w:tcW w:w="625" w:type="dxa"/>
            <w:vMerge w:val="continue"/>
            <w:tcBorders>
              <w:left w:val="single" w:color="auto" w:sz="4" w:space="0"/>
              <w:right w:val="single" w:color="auto" w:sz="4" w:space="0"/>
            </w:tcBorders>
            <w:noWrap w:val="0"/>
            <w:vAlign w:val="center"/>
          </w:tcPr>
          <w:p w14:paraId="5608C74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5B817ED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5BB10EF">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default"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项目完成后，因乙方责任未按合同约定时间组织验收</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BEBA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6678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exact"/>
          <w:jc w:val="center"/>
        </w:trPr>
        <w:tc>
          <w:tcPr>
            <w:tcW w:w="625" w:type="dxa"/>
            <w:vMerge w:val="continue"/>
            <w:tcBorders>
              <w:left w:val="single" w:color="auto" w:sz="4" w:space="0"/>
              <w:right w:val="single" w:color="auto" w:sz="4" w:space="0"/>
            </w:tcBorders>
            <w:noWrap w:val="0"/>
            <w:vAlign w:val="center"/>
          </w:tcPr>
          <w:p w14:paraId="51214D7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right w:val="single" w:color="auto" w:sz="4" w:space="0"/>
            </w:tcBorders>
            <w:noWrap w:val="0"/>
            <w:vAlign w:val="center"/>
          </w:tcPr>
          <w:p w14:paraId="150BC7D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57FB9C3">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验收完成后，未按照约定时间提交结算资料</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7511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r w14:paraId="5CA3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exact"/>
          <w:jc w:val="center"/>
        </w:trPr>
        <w:tc>
          <w:tcPr>
            <w:tcW w:w="625" w:type="dxa"/>
            <w:vMerge w:val="continue"/>
            <w:tcBorders>
              <w:left w:val="single" w:color="auto" w:sz="4" w:space="0"/>
              <w:bottom w:val="single" w:color="auto" w:sz="4" w:space="0"/>
              <w:right w:val="single" w:color="auto" w:sz="4" w:space="0"/>
            </w:tcBorders>
            <w:noWrap w:val="0"/>
            <w:vAlign w:val="center"/>
          </w:tcPr>
          <w:p w14:paraId="7CB8110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1235" w:type="dxa"/>
            <w:vMerge w:val="continue"/>
            <w:tcBorders>
              <w:left w:val="single" w:color="auto" w:sz="4" w:space="0"/>
              <w:bottom w:val="single" w:color="auto" w:sz="4" w:space="0"/>
              <w:right w:val="single" w:color="auto" w:sz="4" w:space="0"/>
            </w:tcBorders>
            <w:noWrap w:val="0"/>
            <w:vAlign w:val="center"/>
          </w:tcPr>
          <w:p w14:paraId="6BD95B8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14:textFill>
                  <w14:solidFill>
                    <w14:schemeClr w14:val="tx1"/>
                  </w14:solidFill>
                </w14:textFill>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50F622F">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资料造假、篡改或严重不全影响审计与归档</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C74E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baseline"/>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5分</w:t>
            </w:r>
          </w:p>
        </w:tc>
      </w:tr>
    </w:tbl>
    <w:p w14:paraId="0B676193">
      <w:pPr>
        <w:numPr>
          <w:ilvl w:val="-1"/>
          <w:numId w:val="0"/>
        </w:numPr>
        <w:snapToGrid/>
        <w:spacing w:before="0" w:after="0" w:line="240" w:lineRule="auto"/>
        <w:rPr>
          <w:rFonts w:ascii="PingFang SC" w:hAnsi="PingFang SC" w:eastAsia="PingFang SC" w:cs="PingFang SC"/>
          <w:i w:val="0"/>
          <w:strike w:val="0"/>
          <w:color w:val="000000" w:themeColor="text1"/>
          <w:spacing w:val="0"/>
          <w:sz w:val="24"/>
          <w:highlight w:val="none"/>
          <w:u w:val="none"/>
          <w:shd w:val="clear" w:color="auto" w:fill="FFFFFF"/>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备注：</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采购人</w:t>
      </w:r>
      <w:r>
        <w:rPr>
          <w:rFonts w:hint="eastAsia" w:ascii="仿宋" w:hAnsi="仿宋" w:eastAsia="仿宋" w:cs="仿宋"/>
          <w:color w:val="000000" w:themeColor="text1"/>
          <w:kern w:val="0"/>
          <w:sz w:val="21"/>
          <w:szCs w:val="21"/>
          <w:highlight w:val="none"/>
          <w14:textFill>
            <w14:solidFill>
              <w14:schemeClr w14:val="tx1"/>
            </w14:solidFill>
          </w14:textFill>
        </w:rPr>
        <w:t>每季度</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14:textFill>
            <w14:solidFill>
              <w14:schemeClr w14:val="tx1"/>
            </w14:solidFill>
          </w14:textFill>
        </w:rPr>
        <w:t>人进行考核，每扣1分，将于当季扣减</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00元结算款，并提供书面分析报告及整改措施。若承包</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人1年内</w:t>
      </w:r>
      <w:r>
        <w:rPr>
          <w:rFonts w:hint="eastAsia" w:ascii="仿宋" w:hAnsi="仿宋" w:eastAsia="仿宋" w:cs="仿宋"/>
          <w:color w:val="000000" w:themeColor="text1"/>
          <w:kern w:val="0"/>
          <w:sz w:val="21"/>
          <w:szCs w:val="21"/>
          <w:highlight w:val="none"/>
          <w14:textFill>
            <w14:solidFill>
              <w14:schemeClr w14:val="tx1"/>
            </w14:solidFill>
          </w14:textFill>
        </w:rPr>
        <w:t>累计扣分达到30分，发包人有权终止合同，并没收履约保证金，相关损失由乙方自行承担，</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中标人</w:t>
      </w:r>
      <w:r>
        <w:rPr>
          <w:rFonts w:hint="eastAsia" w:ascii="仿宋" w:hAnsi="仿宋" w:eastAsia="仿宋" w:cs="仿宋"/>
          <w:color w:val="000000" w:themeColor="text1"/>
          <w:kern w:val="0"/>
          <w:sz w:val="21"/>
          <w:szCs w:val="21"/>
          <w:highlight w:val="none"/>
          <w14:textFill>
            <w14:solidFill>
              <w14:schemeClr w14:val="tx1"/>
            </w14:solidFill>
          </w14:textFill>
        </w:rPr>
        <w:t>还需配合甲方完成相关交接手续。上述乙方的违约金可在履约保证金及工程结算款中扣减。</w:t>
      </w:r>
    </w:p>
    <w:p w14:paraId="42634E23">
      <w:pPr>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br w:type="page"/>
      </w:r>
      <w:r>
        <w:rPr>
          <w:rFonts w:hint="eastAsia"/>
          <w:color w:val="000000" w:themeColor="text1"/>
          <w:szCs w:val="21"/>
          <w:highlight w:val="none"/>
          <w:lang w:val="en-US" w:eastAsia="zh-CN"/>
          <w14:textFill>
            <w14:solidFill>
              <w14:schemeClr w14:val="tx1"/>
            </w14:solidFill>
          </w14:textFill>
        </w:rPr>
        <w:t>附件2：主要材料推荐品牌表</w:t>
      </w:r>
    </w:p>
    <w:p w14:paraId="25A50720">
      <w:pPr>
        <w:jc w:val="center"/>
        <w:rPr>
          <w:rFonts w:ascii="仿宋" w:hAnsi="仿宋" w:eastAsia="仿宋" w:cs="宋体"/>
          <w:b/>
          <w:color w:val="000000" w:themeColor="text1"/>
          <w:sz w:val="32"/>
          <w:highlight w:val="none"/>
          <w14:textFill>
            <w14:solidFill>
              <w14:schemeClr w14:val="tx1"/>
            </w14:solidFill>
          </w14:textFill>
        </w:rPr>
      </w:pPr>
      <w:r>
        <w:rPr>
          <w:rFonts w:ascii="仿宋" w:hAnsi="仿宋" w:eastAsia="仿宋" w:cs="宋体"/>
          <w:b/>
          <w:color w:val="000000" w:themeColor="text1"/>
          <w:sz w:val="32"/>
          <w:highlight w:val="none"/>
          <w14:textFill>
            <w14:solidFill>
              <w14:schemeClr w14:val="tx1"/>
            </w14:solidFill>
          </w14:textFill>
        </w:rPr>
        <w:t>主要材料推荐品牌表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103"/>
        <w:gridCol w:w="1716"/>
        <w:gridCol w:w="1701"/>
        <w:gridCol w:w="1701"/>
      </w:tblGrid>
      <w:tr w14:paraId="0F35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EE7CBF1">
            <w:pPr>
              <w:jc w:val="center"/>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序号</w:t>
            </w:r>
          </w:p>
        </w:tc>
        <w:tc>
          <w:tcPr>
            <w:tcW w:w="3103" w:type="dxa"/>
            <w:tcBorders>
              <w:top w:val="single" w:color="auto" w:sz="4" w:space="0"/>
              <w:left w:val="nil"/>
              <w:bottom w:val="single" w:color="auto" w:sz="4" w:space="0"/>
              <w:right w:val="single" w:color="auto" w:sz="4" w:space="0"/>
            </w:tcBorders>
            <w:shd w:val="clear" w:color="000000" w:fill="FFFFFF"/>
            <w:vAlign w:val="center"/>
          </w:tcPr>
          <w:p w14:paraId="26FDAD10">
            <w:pPr>
              <w:jc w:val="center"/>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材料名</w:t>
            </w:r>
          </w:p>
        </w:tc>
        <w:tc>
          <w:tcPr>
            <w:tcW w:w="1716" w:type="dxa"/>
            <w:tcBorders>
              <w:top w:val="single" w:color="auto" w:sz="4" w:space="0"/>
              <w:left w:val="nil"/>
              <w:bottom w:val="single" w:color="auto" w:sz="4" w:space="0"/>
              <w:right w:val="single" w:color="auto" w:sz="4" w:space="0"/>
            </w:tcBorders>
            <w:shd w:val="clear" w:color="000000" w:fill="FFFFFF"/>
            <w:vAlign w:val="center"/>
          </w:tcPr>
          <w:p w14:paraId="42B5640C">
            <w:pPr>
              <w:jc w:val="center"/>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推荐品牌1</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DAD7857">
            <w:pPr>
              <w:jc w:val="center"/>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推荐品牌2</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31FD639B">
            <w:pPr>
              <w:jc w:val="center"/>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推荐品牌3</w:t>
            </w:r>
          </w:p>
        </w:tc>
      </w:tr>
      <w:tr w14:paraId="09A3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644C0DA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3103" w:type="dxa"/>
            <w:tcBorders>
              <w:top w:val="nil"/>
              <w:left w:val="nil"/>
              <w:bottom w:val="single" w:color="auto" w:sz="4" w:space="0"/>
              <w:right w:val="single" w:color="auto" w:sz="4" w:space="0"/>
            </w:tcBorders>
            <w:vAlign w:val="center"/>
          </w:tcPr>
          <w:p w14:paraId="661EDE5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地胶板（多层复合PVC地板）</w:t>
            </w:r>
          </w:p>
        </w:tc>
        <w:tc>
          <w:tcPr>
            <w:tcW w:w="1716" w:type="dxa"/>
            <w:tcBorders>
              <w:top w:val="nil"/>
              <w:left w:val="nil"/>
              <w:bottom w:val="single" w:color="auto" w:sz="4" w:space="0"/>
              <w:right w:val="single" w:color="auto" w:sz="4" w:space="0"/>
            </w:tcBorders>
            <w:vAlign w:val="center"/>
          </w:tcPr>
          <w:p w14:paraId="5218C7B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阿姆斯壮</w:t>
            </w:r>
          </w:p>
        </w:tc>
        <w:tc>
          <w:tcPr>
            <w:tcW w:w="1701" w:type="dxa"/>
            <w:tcBorders>
              <w:top w:val="nil"/>
              <w:left w:val="nil"/>
              <w:bottom w:val="single" w:color="auto" w:sz="4" w:space="0"/>
              <w:right w:val="single" w:color="auto" w:sz="4" w:space="0"/>
            </w:tcBorders>
            <w:vAlign w:val="center"/>
          </w:tcPr>
          <w:p w14:paraId="00D78C6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洁福</w:t>
            </w:r>
          </w:p>
        </w:tc>
        <w:tc>
          <w:tcPr>
            <w:tcW w:w="1701" w:type="dxa"/>
            <w:tcBorders>
              <w:top w:val="nil"/>
              <w:left w:val="nil"/>
              <w:bottom w:val="single" w:color="auto" w:sz="4" w:space="0"/>
              <w:right w:val="single" w:color="auto" w:sz="4" w:space="0"/>
            </w:tcBorders>
            <w:vAlign w:val="center"/>
          </w:tcPr>
          <w:p w14:paraId="0A22243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德嘉</w:t>
            </w:r>
          </w:p>
        </w:tc>
      </w:tr>
      <w:tr w14:paraId="693E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7306DA1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3103" w:type="dxa"/>
            <w:tcBorders>
              <w:top w:val="nil"/>
              <w:left w:val="nil"/>
              <w:bottom w:val="single" w:color="auto" w:sz="4" w:space="0"/>
              <w:right w:val="single" w:color="auto" w:sz="4" w:space="0"/>
            </w:tcBorders>
            <w:vAlign w:val="center"/>
          </w:tcPr>
          <w:p w14:paraId="56F6D7B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难燃胶合板</w:t>
            </w:r>
          </w:p>
        </w:tc>
        <w:tc>
          <w:tcPr>
            <w:tcW w:w="1716" w:type="dxa"/>
            <w:tcBorders>
              <w:top w:val="nil"/>
              <w:left w:val="nil"/>
              <w:bottom w:val="single" w:color="auto" w:sz="4" w:space="0"/>
              <w:right w:val="single" w:color="auto" w:sz="4" w:space="0"/>
            </w:tcBorders>
            <w:vAlign w:val="center"/>
          </w:tcPr>
          <w:p w14:paraId="2F37BDE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广丰</w:t>
            </w:r>
          </w:p>
        </w:tc>
        <w:tc>
          <w:tcPr>
            <w:tcW w:w="1701" w:type="dxa"/>
            <w:tcBorders>
              <w:top w:val="nil"/>
              <w:left w:val="nil"/>
              <w:bottom w:val="single" w:color="auto" w:sz="4" w:space="0"/>
              <w:right w:val="single" w:color="auto" w:sz="4" w:space="0"/>
            </w:tcBorders>
            <w:vAlign w:val="center"/>
          </w:tcPr>
          <w:p w14:paraId="4A1709A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银信</w:t>
            </w:r>
          </w:p>
        </w:tc>
        <w:tc>
          <w:tcPr>
            <w:tcW w:w="1701" w:type="dxa"/>
            <w:tcBorders>
              <w:top w:val="nil"/>
              <w:left w:val="nil"/>
              <w:bottom w:val="single" w:color="auto" w:sz="4" w:space="0"/>
              <w:right w:val="single" w:color="auto" w:sz="4" w:space="0"/>
            </w:tcBorders>
            <w:vAlign w:val="center"/>
          </w:tcPr>
          <w:p w14:paraId="65AEFF0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丰之林</w:t>
            </w:r>
          </w:p>
        </w:tc>
      </w:tr>
      <w:tr w14:paraId="0608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5603899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3103" w:type="dxa"/>
            <w:tcBorders>
              <w:top w:val="nil"/>
              <w:left w:val="nil"/>
              <w:bottom w:val="single" w:color="auto" w:sz="4" w:space="0"/>
              <w:right w:val="single" w:color="auto" w:sz="4" w:space="0"/>
            </w:tcBorders>
            <w:vAlign w:val="center"/>
          </w:tcPr>
          <w:p w14:paraId="5BF693E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瓷砖类</w:t>
            </w:r>
          </w:p>
        </w:tc>
        <w:tc>
          <w:tcPr>
            <w:tcW w:w="1716" w:type="dxa"/>
            <w:tcBorders>
              <w:top w:val="nil"/>
              <w:left w:val="nil"/>
              <w:bottom w:val="single" w:color="auto" w:sz="4" w:space="0"/>
              <w:right w:val="single" w:color="auto" w:sz="4" w:space="0"/>
            </w:tcBorders>
            <w:vAlign w:val="center"/>
          </w:tcPr>
          <w:p w14:paraId="2DE0A87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东鹏</w:t>
            </w:r>
          </w:p>
        </w:tc>
        <w:tc>
          <w:tcPr>
            <w:tcW w:w="1701" w:type="dxa"/>
            <w:tcBorders>
              <w:top w:val="nil"/>
              <w:left w:val="nil"/>
              <w:bottom w:val="single" w:color="auto" w:sz="4" w:space="0"/>
              <w:right w:val="single" w:color="auto" w:sz="4" w:space="0"/>
            </w:tcBorders>
            <w:vAlign w:val="center"/>
          </w:tcPr>
          <w:p w14:paraId="7EFD18F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鹰牌</w:t>
            </w:r>
          </w:p>
        </w:tc>
        <w:tc>
          <w:tcPr>
            <w:tcW w:w="1701" w:type="dxa"/>
            <w:tcBorders>
              <w:top w:val="nil"/>
              <w:left w:val="nil"/>
              <w:bottom w:val="single" w:color="auto" w:sz="4" w:space="0"/>
              <w:right w:val="single" w:color="auto" w:sz="4" w:space="0"/>
            </w:tcBorders>
            <w:vAlign w:val="center"/>
          </w:tcPr>
          <w:p w14:paraId="6528260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钻石</w:t>
            </w:r>
          </w:p>
        </w:tc>
      </w:tr>
      <w:tr w14:paraId="7CD0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2242EA6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3103" w:type="dxa"/>
            <w:tcBorders>
              <w:top w:val="nil"/>
              <w:left w:val="nil"/>
              <w:bottom w:val="single" w:color="auto" w:sz="4" w:space="0"/>
              <w:right w:val="single" w:color="auto" w:sz="4" w:space="0"/>
            </w:tcBorders>
            <w:vAlign w:val="center"/>
          </w:tcPr>
          <w:p w14:paraId="74745DC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石材类</w:t>
            </w:r>
          </w:p>
        </w:tc>
        <w:tc>
          <w:tcPr>
            <w:tcW w:w="1716" w:type="dxa"/>
            <w:tcBorders>
              <w:top w:val="nil"/>
              <w:left w:val="nil"/>
              <w:bottom w:val="single" w:color="auto" w:sz="4" w:space="0"/>
              <w:right w:val="single" w:color="auto" w:sz="4" w:space="0"/>
            </w:tcBorders>
            <w:vAlign w:val="center"/>
          </w:tcPr>
          <w:p w14:paraId="3352E90E">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威洋</w:t>
            </w:r>
          </w:p>
        </w:tc>
        <w:tc>
          <w:tcPr>
            <w:tcW w:w="1701" w:type="dxa"/>
            <w:tcBorders>
              <w:top w:val="nil"/>
              <w:left w:val="nil"/>
              <w:bottom w:val="single" w:color="auto" w:sz="4" w:space="0"/>
              <w:right w:val="single" w:color="auto" w:sz="4" w:space="0"/>
            </w:tcBorders>
            <w:vAlign w:val="center"/>
          </w:tcPr>
          <w:p w14:paraId="42A7BC0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广州立新</w:t>
            </w:r>
          </w:p>
        </w:tc>
        <w:tc>
          <w:tcPr>
            <w:tcW w:w="1701" w:type="dxa"/>
            <w:tcBorders>
              <w:top w:val="nil"/>
              <w:left w:val="nil"/>
              <w:bottom w:val="single" w:color="auto" w:sz="4" w:space="0"/>
              <w:right w:val="single" w:color="auto" w:sz="4" w:space="0"/>
            </w:tcBorders>
            <w:vAlign w:val="center"/>
          </w:tcPr>
          <w:p w14:paraId="2441664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广州洪发</w:t>
            </w:r>
          </w:p>
        </w:tc>
      </w:tr>
      <w:tr w14:paraId="4843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225DD34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3103" w:type="dxa"/>
            <w:tcBorders>
              <w:top w:val="nil"/>
              <w:left w:val="nil"/>
              <w:bottom w:val="single" w:color="auto" w:sz="4" w:space="0"/>
              <w:right w:val="single" w:color="auto" w:sz="4" w:space="0"/>
            </w:tcBorders>
            <w:vAlign w:val="center"/>
          </w:tcPr>
          <w:p w14:paraId="4C5BFD4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石膏板</w:t>
            </w:r>
          </w:p>
        </w:tc>
        <w:tc>
          <w:tcPr>
            <w:tcW w:w="1716" w:type="dxa"/>
            <w:tcBorders>
              <w:top w:val="nil"/>
              <w:left w:val="nil"/>
              <w:bottom w:val="single" w:color="auto" w:sz="4" w:space="0"/>
              <w:right w:val="single" w:color="auto" w:sz="4" w:space="0"/>
            </w:tcBorders>
            <w:vAlign w:val="center"/>
          </w:tcPr>
          <w:p w14:paraId="45A18E5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可耐福</w:t>
            </w:r>
          </w:p>
        </w:tc>
        <w:tc>
          <w:tcPr>
            <w:tcW w:w="1701" w:type="dxa"/>
            <w:tcBorders>
              <w:top w:val="nil"/>
              <w:left w:val="nil"/>
              <w:bottom w:val="single" w:color="auto" w:sz="4" w:space="0"/>
              <w:right w:val="single" w:color="auto" w:sz="4" w:space="0"/>
            </w:tcBorders>
            <w:vAlign w:val="center"/>
          </w:tcPr>
          <w:p w14:paraId="752EFA1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龙牌</w:t>
            </w:r>
          </w:p>
        </w:tc>
        <w:tc>
          <w:tcPr>
            <w:tcW w:w="1701" w:type="dxa"/>
            <w:tcBorders>
              <w:top w:val="nil"/>
              <w:left w:val="nil"/>
              <w:bottom w:val="single" w:color="auto" w:sz="4" w:space="0"/>
              <w:right w:val="single" w:color="auto" w:sz="4" w:space="0"/>
            </w:tcBorders>
            <w:vAlign w:val="center"/>
          </w:tcPr>
          <w:p w14:paraId="4A8D697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海联</w:t>
            </w:r>
          </w:p>
        </w:tc>
      </w:tr>
      <w:tr w14:paraId="2A1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1425E11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3103" w:type="dxa"/>
            <w:tcBorders>
              <w:top w:val="nil"/>
              <w:left w:val="nil"/>
              <w:bottom w:val="single" w:color="auto" w:sz="4" w:space="0"/>
              <w:right w:val="single" w:color="auto" w:sz="4" w:space="0"/>
            </w:tcBorders>
            <w:vAlign w:val="center"/>
          </w:tcPr>
          <w:p w14:paraId="1B96B9C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铝扣板</w:t>
            </w:r>
          </w:p>
        </w:tc>
        <w:tc>
          <w:tcPr>
            <w:tcW w:w="1716" w:type="dxa"/>
            <w:tcBorders>
              <w:top w:val="nil"/>
              <w:left w:val="nil"/>
              <w:bottom w:val="single" w:color="auto" w:sz="4" w:space="0"/>
              <w:right w:val="single" w:color="auto" w:sz="4" w:space="0"/>
            </w:tcBorders>
            <w:vAlign w:val="center"/>
          </w:tcPr>
          <w:p w14:paraId="7750733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广铝</w:t>
            </w:r>
          </w:p>
        </w:tc>
        <w:tc>
          <w:tcPr>
            <w:tcW w:w="1701" w:type="dxa"/>
            <w:tcBorders>
              <w:top w:val="nil"/>
              <w:left w:val="nil"/>
              <w:bottom w:val="single" w:color="auto" w:sz="4" w:space="0"/>
              <w:right w:val="single" w:color="auto" w:sz="4" w:space="0"/>
            </w:tcBorders>
            <w:vAlign w:val="center"/>
          </w:tcPr>
          <w:p w14:paraId="12CB7D5A">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巴迪斯</w:t>
            </w:r>
          </w:p>
        </w:tc>
        <w:tc>
          <w:tcPr>
            <w:tcW w:w="1701" w:type="dxa"/>
            <w:tcBorders>
              <w:top w:val="nil"/>
              <w:left w:val="nil"/>
              <w:bottom w:val="single" w:color="auto" w:sz="4" w:space="0"/>
              <w:right w:val="single" w:color="auto" w:sz="4" w:space="0"/>
            </w:tcBorders>
            <w:vAlign w:val="center"/>
          </w:tcPr>
          <w:p w14:paraId="607E06C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华狮龙</w:t>
            </w:r>
          </w:p>
        </w:tc>
      </w:tr>
      <w:tr w14:paraId="5AE6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3527F19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w:t>
            </w:r>
          </w:p>
        </w:tc>
        <w:tc>
          <w:tcPr>
            <w:tcW w:w="3103" w:type="dxa"/>
            <w:tcBorders>
              <w:top w:val="nil"/>
              <w:left w:val="nil"/>
              <w:bottom w:val="single" w:color="auto" w:sz="4" w:space="0"/>
              <w:right w:val="single" w:color="auto" w:sz="4" w:space="0"/>
            </w:tcBorders>
            <w:vAlign w:val="center"/>
          </w:tcPr>
          <w:p w14:paraId="2CE6BC6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铝塑板</w:t>
            </w:r>
          </w:p>
        </w:tc>
        <w:tc>
          <w:tcPr>
            <w:tcW w:w="1716" w:type="dxa"/>
            <w:tcBorders>
              <w:top w:val="nil"/>
              <w:left w:val="nil"/>
              <w:bottom w:val="single" w:color="auto" w:sz="4" w:space="0"/>
              <w:right w:val="single" w:color="auto" w:sz="4" w:space="0"/>
            </w:tcBorders>
            <w:vAlign w:val="center"/>
          </w:tcPr>
          <w:p w14:paraId="48AAD82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巴迪斯</w:t>
            </w:r>
          </w:p>
        </w:tc>
        <w:tc>
          <w:tcPr>
            <w:tcW w:w="1701" w:type="dxa"/>
            <w:tcBorders>
              <w:top w:val="nil"/>
              <w:left w:val="nil"/>
              <w:bottom w:val="single" w:color="auto" w:sz="4" w:space="0"/>
              <w:right w:val="single" w:color="auto" w:sz="4" w:space="0"/>
            </w:tcBorders>
            <w:vAlign w:val="center"/>
          </w:tcPr>
          <w:p w14:paraId="3B8DC69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广丰</w:t>
            </w:r>
          </w:p>
        </w:tc>
        <w:tc>
          <w:tcPr>
            <w:tcW w:w="1701" w:type="dxa"/>
            <w:tcBorders>
              <w:top w:val="nil"/>
              <w:left w:val="nil"/>
              <w:bottom w:val="single" w:color="auto" w:sz="4" w:space="0"/>
              <w:right w:val="single" w:color="auto" w:sz="4" w:space="0"/>
            </w:tcBorders>
            <w:vAlign w:val="center"/>
          </w:tcPr>
          <w:p w14:paraId="5FB7014E">
            <w:pPr>
              <w:jc w:val="center"/>
              <w:rPr>
                <w:rFonts w:ascii="仿宋" w:hAnsi="仿宋" w:eastAsia="仿宋" w:cs="仿宋"/>
                <w:color w:val="000000" w:themeColor="text1"/>
                <w:szCs w:val="21"/>
                <w:highlight w:val="none"/>
                <w14:textFill>
                  <w14:solidFill>
                    <w14:schemeClr w14:val="tx1"/>
                  </w14:solidFill>
                </w14:textFill>
              </w:rPr>
            </w:pPr>
          </w:p>
        </w:tc>
      </w:tr>
      <w:tr w14:paraId="6F48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6127DDF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w:t>
            </w:r>
          </w:p>
        </w:tc>
        <w:tc>
          <w:tcPr>
            <w:tcW w:w="3103" w:type="dxa"/>
            <w:tcBorders>
              <w:top w:val="nil"/>
              <w:left w:val="nil"/>
              <w:bottom w:val="single" w:color="auto" w:sz="4" w:space="0"/>
              <w:right w:val="single" w:color="auto" w:sz="4" w:space="0"/>
            </w:tcBorders>
            <w:vAlign w:val="center"/>
          </w:tcPr>
          <w:p w14:paraId="25D4EA6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乳胶漆</w:t>
            </w:r>
          </w:p>
        </w:tc>
        <w:tc>
          <w:tcPr>
            <w:tcW w:w="1716" w:type="dxa"/>
            <w:tcBorders>
              <w:top w:val="nil"/>
              <w:left w:val="nil"/>
              <w:bottom w:val="single" w:color="auto" w:sz="4" w:space="0"/>
              <w:right w:val="single" w:color="auto" w:sz="4" w:space="0"/>
            </w:tcBorders>
            <w:vAlign w:val="center"/>
          </w:tcPr>
          <w:p w14:paraId="362E28D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多乐士</w:t>
            </w:r>
          </w:p>
        </w:tc>
        <w:tc>
          <w:tcPr>
            <w:tcW w:w="1701" w:type="dxa"/>
            <w:tcBorders>
              <w:top w:val="nil"/>
              <w:left w:val="nil"/>
              <w:bottom w:val="single" w:color="auto" w:sz="4" w:space="0"/>
              <w:right w:val="single" w:color="auto" w:sz="4" w:space="0"/>
            </w:tcBorders>
            <w:vAlign w:val="center"/>
          </w:tcPr>
          <w:p w14:paraId="3EAF668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立邦</w:t>
            </w:r>
          </w:p>
        </w:tc>
        <w:tc>
          <w:tcPr>
            <w:tcW w:w="1701" w:type="dxa"/>
            <w:tcBorders>
              <w:top w:val="nil"/>
              <w:left w:val="nil"/>
              <w:bottom w:val="single" w:color="auto" w:sz="4" w:space="0"/>
              <w:right w:val="single" w:color="auto" w:sz="4" w:space="0"/>
            </w:tcBorders>
            <w:vAlign w:val="center"/>
          </w:tcPr>
          <w:p w14:paraId="559948A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华润</w:t>
            </w:r>
          </w:p>
        </w:tc>
      </w:tr>
      <w:tr w14:paraId="1F90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185564FE">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w:t>
            </w:r>
          </w:p>
        </w:tc>
        <w:tc>
          <w:tcPr>
            <w:tcW w:w="3103" w:type="dxa"/>
            <w:tcBorders>
              <w:top w:val="nil"/>
              <w:left w:val="nil"/>
              <w:bottom w:val="single" w:color="auto" w:sz="4" w:space="0"/>
              <w:right w:val="single" w:color="auto" w:sz="4" w:space="0"/>
            </w:tcBorders>
            <w:vAlign w:val="center"/>
          </w:tcPr>
          <w:p w14:paraId="0C04F3B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防火门</w:t>
            </w:r>
          </w:p>
        </w:tc>
        <w:tc>
          <w:tcPr>
            <w:tcW w:w="1716" w:type="dxa"/>
            <w:tcBorders>
              <w:top w:val="nil"/>
              <w:left w:val="nil"/>
              <w:bottom w:val="single" w:color="auto" w:sz="4" w:space="0"/>
              <w:right w:val="single" w:color="auto" w:sz="4" w:space="0"/>
            </w:tcBorders>
            <w:vAlign w:val="center"/>
          </w:tcPr>
          <w:p w14:paraId="5BD3748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白云南粤</w:t>
            </w:r>
          </w:p>
        </w:tc>
        <w:tc>
          <w:tcPr>
            <w:tcW w:w="1701" w:type="dxa"/>
            <w:tcBorders>
              <w:top w:val="nil"/>
              <w:left w:val="nil"/>
              <w:bottom w:val="single" w:color="auto" w:sz="4" w:space="0"/>
              <w:right w:val="single" w:color="auto" w:sz="4" w:space="0"/>
            </w:tcBorders>
            <w:vAlign w:val="center"/>
          </w:tcPr>
          <w:p w14:paraId="0732931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日高</w:t>
            </w:r>
          </w:p>
        </w:tc>
        <w:tc>
          <w:tcPr>
            <w:tcW w:w="1701" w:type="dxa"/>
            <w:tcBorders>
              <w:top w:val="nil"/>
              <w:left w:val="nil"/>
              <w:bottom w:val="single" w:color="auto" w:sz="4" w:space="0"/>
              <w:right w:val="single" w:color="auto" w:sz="4" w:space="0"/>
            </w:tcBorders>
            <w:vAlign w:val="center"/>
          </w:tcPr>
          <w:p w14:paraId="11AF679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金鸿安</w:t>
            </w:r>
          </w:p>
        </w:tc>
      </w:tr>
      <w:tr w14:paraId="2BC6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vAlign w:val="center"/>
          </w:tcPr>
          <w:p w14:paraId="047D536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w:t>
            </w:r>
          </w:p>
        </w:tc>
        <w:tc>
          <w:tcPr>
            <w:tcW w:w="3103" w:type="dxa"/>
            <w:tcBorders>
              <w:top w:val="nil"/>
              <w:left w:val="nil"/>
              <w:bottom w:val="single" w:color="auto" w:sz="4" w:space="0"/>
              <w:right w:val="single" w:color="auto" w:sz="4" w:space="0"/>
            </w:tcBorders>
            <w:vAlign w:val="center"/>
          </w:tcPr>
          <w:p w14:paraId="26A9341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门锁</w:t>
            </w:r>
          </w:p>
        </w:tc>
        <w:tc>
          <w:tcPr>
            <w:tcW w:w="1716" w:type="dxa"/>
            <w:tcBorders>
              <w:top w:val="nil"/>
              <w:left w:val="nil"/>
              <w:bottom w:val="single" w:color="auto" w:sz="4" w:space="0"/>
              <w:right w:val="single" w:color="auto" w:sz="4" w:space="0"/>
            </w:tcBorders>
            <w:vAlign w:val="center"/>
          </w:tcPr>
          <w:p w14:paraId="7D4DF89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固力</w:t>
            </w:r>
          </w:p>
        </w:tc>
        <w:tc>
          <w:tcPr>
            <w:tcW w:w="1701" w:type="dxa"/>
            <w:tcBorders>
              <w:top w:val="nil"/>
              <w:left w:val="nil"/>
              <w:bottom w:val="single" w:color="auto" w:sz="4" w:space="0"/>
              <w:right w:val="single" w:color="auto" w:sz="4" w:space="0"/>
            </w:tcBorders>
            <w:vAlign w:val="center"/>
          </w:tcPr>
          <w:p w14:paraId="02E26B9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顶固</w:t>
            </w:r>
          </w:p>
        </w:tc>
        <w:tc>
          <w:tcPr>
            <w:tcW w:w="1701" w:type="dxa"/>
            <w:tcBorders>
              <w:top w:val="nil"/>
              <w:left w:val="nil"/>
              <w:bottom w:val="single" w:color="auto" w:sz="4" w:space="0"/>
              <w:right w:val="single" w:color="auto" w:sz="4" w:space="0"/>
            </w:tcBorders>
            <w:vAlign w:val="center"/>
          </w:tcPr>
          <w:p w14:paraId="4E0B173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海福乐</w:t>
            </w:r>
          </w:p>
        </w:tc>
      </w:tr>
      <w:tr w14:paraId="545F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14:paraId="74FA9FC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w:t>
            </w:r>
          </w:p>
        </w:tc>
        <w:tc>
          <w:tcPr>
            <w:tcW w:w="3103" w:type="dxa"/>
            <w:tcBorders>
              <w:top w:val="nil"/>
              <w:left w:val="nil"/>
              <w:bottom w:val="single" w:color="auto" w:sz="4" w:space="0"/>
              <w:right w:val="single" w:color="auto" w:sz="4" w:space="0"/>
            </w:tcBorders>
            <w:shd w:val="clear" w:color="000000" w:fill="auto"/>
            <w:vAlign w:val="center"/>
          </w:tcPr>
          <w:p w14:paraId="68894BE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金属管道</w:t>
            </w:r>
          </w:p>
        </w:tc>
        <w:tc>
          <w:tcPr>
            <w:tcW w:w="1716" w:type="dxa"/>
            <w:tcBorders>
              <w:top w:val="nil"/>
              <w:left w:val="nil"/>
              <w:bottom w:val="single" w:color="auto" w:sz="4" w:space="0"/>
              <w:right w:val="single" w:color="auto" w:sz="4" w:space="0"/>
            </w:tcBorders>
            <w:vAlign w:val="center"/>
          </w:tcPr>
          <w:p w14:paraId="4FCD49C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珠江钢管厂</w:t>
            </w:r>
          </w:p>
        </w:tc>
        <w:tc>
          <w:tcPr>
            <w:tcW w:w="1701" w:type="dxa"/>
            <w:tcBorders>
              <w:top w:val="nil"/>
              <w:left w:val="nil"/>
              <w:bottom w:val="single" w:color="auto" w:sz="4" w:space="0"/>
              <w:right w:val="single" w:color="auto" w:sz="4" w:space="0"/>
            </w:tcBorders>
            <w:vAlign w:val="center"/>
          </w:tcPr>
          <w:p w14:paraId="3F6FF90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广州钢管厂</w:t>
            </w:r>
          </w:p>
        </w:tc>
        <w:tc>
          <w:tcPr>
            <w:tcW w:w="1701" w:type="dxa"/>
            <w:tcBorders>
              <w:top w:val="nil"/>
              <w:left w:val="nil"/>
              <w:bottom w:val="single" w:color="auto" w:sz="4" w:space="0"/>
              <w:right w:val="single" w:color="auto" w:sz="4" w:space="0"/>
            </w:tcBorders>
            <w:vAlign w:val="center"/>
          </w:tcPr>
          <w:p w14:paraId="7E309F1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广州市先河塑钢有限公司</w:t>
            </w:r>
          </w:p>
        </w:tc>
      </w:tr>
      <w:tr w14:paraId="6A70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center"/>
          </w:tcPr>
          <w:p w14:paraId="102FA97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w:t>
            </w:r>
          </w:p>
        </w:tc>
        <w:tc>
          <w:tcPr>
            <w:tcW w:w="3103" w:type="dxa"/>
            <w:shd w:val="clear" w:color="000000" w:fill="auto"/>
            <w:vAlign w:val="center"/>
          </w:tcPr>
          <w:p w14:paraId="7EAB5E1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塑料管道、线槽</w:t>
            </w:r>
          </w:p>
        </w:tc>
        <w:tc>
          <w:tcPr>
            <w:tcW w:w="1716" w:type="dxa"/>
            <w:vAlign w:val="center"/>
          </w:tcPr>
          <w:p w14:paraId="038BDA0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联塑</w:t>
            </w:r>
          </w:p>
        </w:tc>
        <w:tc>
          <w:tcPr>
            <w:tcW w:w="1701" w:type="dxa"/>
            <w:vAlign w:val="center"/>
          </w:tcPr>
          <w:p w14:paraId="50CD521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广熙</w:t>
            </w:r>
          </w:p>
        </w:tc>
        <w:tc>
          <w:tcPr>
            <w:tcW w:w="1701" w:type="dxa"/>
            <w:vAlign w:val="center"/>
          </w:tcPr>
          <w:p w14:paraId="07D83F2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顾地</w:t>
            </w:r>
          </w:p>
        </w:tc>
      </w:tr>
      <w:tr w14:paraId="200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center"/>
          </w:tcPr>
          <w:p w14:paraId="2BFF9C2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16</w:t>
            </w:r>
          </w:p>
        </w:tc>
        <w:tc>
          <w:tcPr>
            <w:tcW w:w="3103" w:type="dxa"/>
            <w:shd w:val="clear" w:color="000000" w:fill="auto"/>
            <w:vAlign w:val="center"/>
          </w:tcPr>
          <w:p w14:paraId="713C1D7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电线电缆</w:t>
            </w:r>
          </w:p>
        </w:tc>
        <w:tc>
          <w:tcPr>
            <w:tcW w:w="1716" w:type="dxa"/>
            <w:vAlign w:val="center"/>
          </w:tcPr>
          <w:p w14:paraId="430E5E9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广州电缆厂</w:t>
            </w:r>
          </w:p>
        </w:tc>
        <w:tc>
          <w:tcPr>
            <w:tcW w:w="1701" w:type="dxa"/>
            <w:vAlign w:val="center"/>
          </w:tcPr>
          <w:p w14:paraId="130DA72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广东电缆厂</w:t>
            </w:r>
          </w:p>
        </w:tc>
        <w:tc>
          <w:tcPr>
            <w:tcW w:w="1701" w:type="dxa"/>
            <w:vAlign w:val="center"/>
          </w:tcPr>
          <w:p w14:paraId="4C317A7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番禺电缆厂</w:t>
            </w:r>
          </w:p>
        </w:tc>
      </w:tr>
      <w:tr w14:paraId="6D1F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center"/>
          </w:tcPr>
          <w:p w14:paraId="78DCDC2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w:t>
            </w:r>
          </w:p>
        </w:tc>
        <w:tc>
          <w:tcPr>
            <w:tcW w:w="3103" w:type="dxa"/>
            <w:shd w:val="clear" w:color="000000" w:fill="auto"/>
            <w:vAlign w:val="center"/>
          </w:tcPr>
          <w:p w14:paraId="75917B0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保温吸音材料</w:t>
            </w:r>
          </w:p>
        </w:tc>
        <w:tc>
          <w:tcPr>
            <w:tcW w:w="1716" w:type="dxa"/>
            <w:vAlign w:val="center"/>
          </w:tcPr>
          <w:p w14:paraId="33D17C0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福乐斯</w:t>
            </w:r>
          </w:p>
        </w:tc>
        <w:tc>
          <w:tcPr>
            <w:tcW w:w="1701" w:type="dxa"/>
            <w:vAlign w:val="center"/>
          </w:tcPr>
          <w:p w14:paraId="1D51749A">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杜肯</w:t>
            </w:r>
          </w:p>
        </w:tc>
        <w:tc>
          <w:tcPr>
            <w:tcW w:w="1701" w:type="dxa"/>
            <w:vAlign w:val="center"/>
          </w:tcPr>
          <w:p w14:paraId="7750C05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阿乐斯</w:t>
            </w:r>
          </w:p>
        </w:tc>
      </w:tr>
      <w:tr w14:paraId="4FA6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02D03A7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18</w:t>
            </w:r>
          </w:p>
        </w:tc>
        <w:tc>
          <w:tcPr>
            <w:tcW w:w="3103" w:type="dxa"/>
            <w:shd w:val="clear" w:color="000000" w:fill="auto"/>
            <w:vAlign w:val="center"/>
          </w:tcPr>
          <w:p w14:paraId="40535D1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风口、风阀、消声器</w:t>
            </w:r>
          </w:p>
        </w:tc>
        <w:tc>
          <w:tcPr>
            <w:tcW w:w="1716" w:type="dxa"/>
            <w:vAlign w:val="center"/>
          </w:tcPr>
          <w:p w14:paraId="552D9DE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耀安实业</w:t>
            </w:r>
          </w:p>
        </w:tc>
        <w:tc>
          <w:tcPr>
            <w:tcW w:w="1701" w:type="dxa"/>
            <w:vAlign w:val="center"/>
          </w:tcPr>
          <w:p w14:paraId="3991100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泰昌实业</w:t>
            </w:r>
          </w:p>
        </w:tc>
        <w:tc>
          <w:tcPr>
            <w:tcW w:w="1701" w:type="dxa"/>
            <w:vAlign w:val="center"/>
          </w:tcPr>
          <w:p w14:paraId="6A7BBA1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东莞飞达</w:t>
            </w:r>
          </w:p>
        </w:tc>
      </w:tr>
      <w:tr w14:paraId="4D65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6E330D8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19</w:t>
            </w:r>
          </w:p>
        </w:tc>
        <w:tc>
          <w:tcPr>
            <w:tcW w:w="3103" w:type="dxa"/>
            <w:shd w:val="clear" w:color="000000" w:fill="auto"/>
            <w:vAlign w:val="center"/>
          </w:tcPr>
          <w:p w14:paraId="704148D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灯具</w:t>
            </w:r>
          </w:p>
        </w:tc>
        <w:tc>
          <w:tcPr>
            <w:tcW w:w="1716" w:type="dxa"/>
            <w:vAlign w:val="center"/>
          </w:tcPr>
          <w:p w14:paraId="39DEA0E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三雄</w:t>
            </w:r>
          </w:p>
        </w:tc>
        <w:tc>
          <w:tcPr>
            <w:tcW w:w="1701" w:type="dxa"/>
            <w:vAlign w:val="center"/>
          </w:tcPr>
          <w:p w14:paraId="759A05A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松本</w:t>
            </w:r>
          </w:p>
        </w:tc>
        <w:tc>
          <w:tcPr>
            <w:tcW w:w="1701" w:type="dxa"/>
            <w:vAlign w:val="center"/>
          </w:tcPr>
          <w:p w14:paraId="2AA94F3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雷士</w:t>
            </w:r>
          </w:p>
        </w:tc>
      </w:tr>
      <w:tr w14:paraId="4B95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0F38BFD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w:t>
            </w:r>
          </w:p>
        </w:tc>
        <w:tc>
          <w:tcPr>
            <w:tcW w:w="3103" w:type="dxa"/>
            <w:shd w:val="clear" w:color="000000" w:fill="auto"/>
            <w:vAlign w:val="center"/>
          </w:tcPr>
          <w:p w14:paraId="102939A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光源</w:t>
            </w:r>
          </w:p>
        </w:tc>
        <w:tc>
          <w:tcPr>
            <w:tcW w:w="1716" w:type="dxa"/>
            <w:vAlign w:val="center"/>
          </w:tcPr>
          <w:p w14:paraId="58A0C8B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三雄</w:t>
            </w:r>
          </w:p>
        </w:tc>
        <w:tc>
          <w:tcPr>
            <w:tcW w:w="1701" w:type="dxa"/>
            <w:vAlign w:val="center"/>
          </w:tcPr>
          <w:p w14:paraId="4A8C0AD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佛山照明</w:t>
            </w:r>
          </w:p>
        </w:tc>
        <w:tc>
          <w:tcPr>
            <w:tcW w:w="1701" w:type="dxa"/>
            <w:vAlign w:val="center"/>
          </w:tcPr>
          <w:p w14:paraId="7E95334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欧司朗</w:t>
            </w:r>
          </w:p>
        </w:tc>
      </w:tr>
      <w:tr w14:paraId="4222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1BE82E7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p>
        </w:tc>
        <w:tc>
          <w:tcPr>
            <w:tcW w:w="3103" w:type="dxa"/>
            <w:shd w:val="clear" w:color="000000" w:fill="auto"/>
            <w:vAlign w:val="center"/>
          </w:tcPr>
          <w:p w14:paraId="175E7E5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开关、插座</w:t>
            </w:r>
          </w:p>
        </w:tc>
        <w:tc>
          <w:tcPr>
            <w:tcW w:w="1716" w:type="dxa"/>
            <w:vAlign w:val="center"/>
          </w:tcPr>
          <w:p w14:paraId="0CD6ED1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施耐德</w:t>
            </w:r>
          </w:p>
        </w:tc>
        <w:tc>
          <w:tcPr>
            <w:tcW w:w="1701" w:type="dxa"/>
            <w:vAlign w:val="center"/>
          </w:tcPr>
          <w:p w14:paraId="0F5EC8D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公牛</w:t>
            </w:r>
          </w:p>
        </w:tc>
        <w:tc>
          <w:tcPr>
            <w:tcW w:w="1701" w:type="dxa"/>
            <w:vAlign w:val="center"/>
          </w:tcPr>
          <w:p w14:paraId="6899E4B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松本</w:t>
            </w:r>
          </w:p>
        </w:tc>
      </w:tr>
      <w:tr w14:paraId="265B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533560D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w:t>
            </w:r>
          </w:p>
        </w:tc>
        <w:tc>
          <w:tcPr>
            <w:tcW w:w="3103" w:type="dxa"/>
            <w:shd w:val="clear" w:color="000000" w:fill="auto"/>
            <w:vAlign w:val="center"/>
          </w:tcPr>
          <w:p w14:paraId="7EF8F65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卫生洁具、脚踏阀冲水阀</w:t>
            </w:r>
          </w:p>
        </w:tc>
        <w:tc>
          <w:tcPr>
            <w:tcW w:w="1716" w:type="dxa"/>
            <w:vAlign w:val="center"/>
          </w:tcPr>
          <w:p w14:paraId="6F4A6BD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科勒/TOTO</w:t>
            </w:r>
          </w:p>
        </w:tc>
        <w:tc>
          <w:tcPr>
            <w:tcW w:w="1701" w:type="dxa"/>
            <w:vAlign w:val="center"/>
          </w:tcPr>
          <w:p w14:paraId="2009645E">
            <w:pPr>
              <w:pBdr>
                <w:bottom w:val="none" w:color="auto" w:sz="0" w:space="0"/>
              </w:pBdr>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东鹏/钻石</w:t>
            </w:r>
          </w:p>
        </w:tc>
        <w:tc>
          <w:tcPr>
            <w:tcW w:w="1701" w:type="dxa"/>
            <w:vAlign w:val="center"/>
          </w:tcPr>
          <w:p w14:paraId="62509284">
            <w:pPr>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九牧</w:t>
            </w:r>
          </w:p>
        </w:tc>
      </w:tr>
      <w:tr w14:paraId="5034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598A127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w:t>
            </w:r>
          </w:p>
        </w:tc>
        <w:tc>
          <w:tcPr>
            <w:tcW w:w="3103" w:type="dxa"/>
            <w:shd w:val="clear" w:color="000000" w:fill="auto"/>
            <w:vAlign w:val="center"/>
          </w:tcPr>
          <w:p w14:paraId="7115EF9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电源箱、开关箱、照明箱等主原件</w:t>
            </w:r>
          </w:p>
        </w:tc>
        <w:tc>
          <w:tcPr>
            <w:tcW w:w="1716" w:type="dxa"/>
            <w:vAlign w:val="center"/>
          </w:tcPr>
          <w:p w14:paraId="50A52F4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白云电器</w:t>
            </w:r>
          </w:p>
        </w:tc>
        <w:tc>
          <w:tcPr>
            <w:tcW w:w="1701" w:type="dxa"/>
            <w:vAlign w:val="center"/>
          </w:tcPr>
          <w:p w14:paraId="7FB3473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TCL</w:t>
            </w:r>
          </w:p>
        </w:tc>
        <w:tc>
          <w:tcPr>
            <w:tcW w:w="1701" w:type="dxa"/>
            <w:vAlign w:val="center"/>
          </w:tcPr>
          <w:p w14:paraId="4BD319F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基业</w:t>
            </w:r>
          </w:p>
        </w:tc>
      </w:tr>
      <w:tr w14:paraId="7988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44CD050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w:t>
            </w:r>
          </w:p>
        </w:tc>
        <w:tc>
          <w:tcPr>
            <w:tcW w:w="3103" w:type="dxa"/>
            <w:shd w:val="clear" w:color="000000" w:fill="auto"/>
            <w:vAlign w:val="center"/>
          </w:tcPr>
          <w:p w14:paraId="2FB5B70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柜箱内电气开关元件</w:t>
            </w:r>
          </w:p>
        </w:tc>
        <w:tc>
          <w:tcPr>
            <w:tcW w:w="1716" w:type="dxa"/>
            <w:vAlign w:val="center"/>
          </w:tcPr>
          <w:p w14:paraId="30575AA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ABB</w:t>
            </w:r>
          </w:p>
        </w:tc>
        <w:tc>
          <w:tcPr>
            <w:tcW w:w="1701" w:type="dxa"/>
            <w:vAlign w:val="center"/>
          </w:tcPr>
          <w:p w14:paraId="747E051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西门子</w:t>
            </w:r>
          </w:p>
        </w:tc>
        <w:tc>
          <w:tcPr>
            <w:tcW w:w="1701" w:type="dxa"/>
            <w:vAlign w:val="center"/>
          </w:tcPr>
          <w:p w14:paraId="721F561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施耐德</w:t>
            </w:r>
          </w:p>
        </w:tc>
      </w:tr>
      <w:tr w14:paraId="0CF4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1234A68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25</w:t>
            </w:r>
          </w:p>
        </w:tc>
        <w:tc>
          <w:tcPr>
            <w:tcW w:w="3103" w:type="dxa"/>
            <w:shd w:val="clear" w:color="000000" w:fill="auto"/>
            <w:vAlign w:val="center"/>
          </w:tcPr>
          <w:p w14:paraId="0797716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金属线槽及桥架</w:t>
            </w:r>
          </w:p>
        </w:tc>
        <w:tc>
          <w:tcPr>
            <w:tcW w:w="1716" w:type="dxa"/>
            <w:vAlign w:val="center"/>
          </w:tcPr>
          <w:p w14:paraId="3E89167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中兴</w:t>
            </w:r>
          </w:p>
        </w:tc>
        <w:tc>
          <w:tcPr>
            <w:tcW w:w="1701" w:type="dxa"/>
            <w:vAlign w:val="center"/>
          </w:tcPr>
          <w:p w14:paraId="330BE9B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番禺桥架</w:t>
            </w:r>
          </w:p>
        </w:tc>
        <w:tc>
          <w:tcPr>
            <w:tcW w:w="1701" w:type="dxa"/>
            <w:vAlign w:val="center"/>
          </w:tcPr>
          <w:p w14:paraId="68DFF58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宇恒实业</w:t>
            </w:r>
          </w:p>
        </w:tc>
      </w:tr>
      <w:tr w14:paraId="61C9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7D8A612A">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w:t>
            </w:r>
          </w:p>
        </w:tc>
        <w:tc>
          <w:tcPr>
            <w:tcW w:w="3103" w:type="dxa"/>
            <w:shd w:val="clear" w:color="000000" w:fill="auto"/>
            <w:vAlign w:val="center"/>
          </w:tcPr>
          <w:p w14:paraId="2603AFC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风机盘管、空调机</w:t>
            </w:r>
          </w:p>
        </w:tc>
        <w:tc>
          <w:tcPr>
            <w:tcW w:w="1716" w:type="dxa"/>
            <w:vAlign w:val="center"/>
          </w:tcPr>
          <w:p w14:paraId="4671F84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约克</w:t>
            </w:r>
          </w:p>
        </w:tc>
        <w:tc>
          <w:tcPr>
            <w:tcW w:w="1701" w:type="dxa"/>
            <w:vAlign w:val="center"/>
          </w:tcPr>
          <w:p w14:paraId="0A1532A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开利</w:t>
            </w:r>
          </w:p>
        </w:tc>
        <w:tc>
          <w:tcPr>
            <w:tcW w:w="1701" w:type="dxa"/>
            <w:vAlign w:val="center"/>
          </w:tcPr>
          <w:p w14:paraId="23B5B4E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麦克维尔</w:t>
            </w:r>
          </w:p>
        </w:tc>
      </w:tr>
      <w:tr w14:paraId="0EEF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5EC5C5B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27</w:t>
            </w:r>
          </w:p>
        </w:tc>
        <w:tc>
          <w:tcPr>
            <w:tcW w:w="3103" w:type="dxa"/>
            <w:shd w:val="clear" w:color="000000" w:fill="auto"/>
            <w:vAlign w:val="center"/>
          </w:tcPr>
          <w:p w14:paraId="48EA064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液晶温控器</w:t>
            </w:r>
          </w:p>
        </w:tc>
        <w:tc>
          <w:tcPr>
            <w:tcW w:w="1716" w:type="dxa"/>
            <w:vAlign w:val="center"/>
          </w:tcPr>
          <w:p w14:paraId="3440637E">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西门子</w:t>
            </w:r>
          </w:p>
        </w:tc>
        <w:tc>
          <w:tcPr>
            <w:tcW w:w="1701" w:type="dxa"/>
            <w:vAlign w:val="center"/>
          </w:tcPr>
          <w:p w14:paraId="55DBEBF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霍尼韦尔</w:t>
            </w:r>
          </w:p>
        </w:tc>
        <w:tc>
          <w:tcPr>
            <w:tcW w:w="1701" w:type="dxa"/>
            <w:vAlign w:val="center"/>
          </w:tcPr>
          <w:p w14:paraId="3B5FB9F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约克</w:t>
            </w:r>
          </w:p>
        </w:tc>
      </w:tr>
      <w:tr w14:paraId="2DAF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50" w:type="dxa"/>
            <w:shd w:val="clear" w:color="auto" w:fill="auto"/>
            <w:vAlign w:val="top"/>
          </w:tcPr>
          <w:p w14:paraId="65C5FF1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28</w:t>
            </w:r>
          </w:p>
        </w:tc>
        <w:tc>
          <w:tcPr>
            <w:tcW w:w="3103" w:type="dxa"/>
            <w:shd w:val="clear" w:color="000000" w:fill="auto"/>
            <w:vAlign w:val="center"/>
          </w:tcPr>
          <w:p w14:paraId="4801E98A">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比例积分阀、电磁阀（含三速开关）、压差旁通阀、</w:t>
            </w:r>
          </w:p>
        </w:tc>
        <w:tc>
          <w:tcPr>
            <w:tcW w:w="1716" w:type="dxa"/>
            <w:vAlign w:val="center"/>
          </w:tcPr>
          <w:p w14:paraId="27D70FA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瑞典TA</w:t>
            </w:r>
          </w:p>
        </w:tc>
        <w:tc>
          <w:tcPr>
            <w:tcW w:w="1701" w:type="dxa"/>
            <w:vAlign w:val="center"/>
          </w:tcPr>
          <w:p w14:paraId="2A6B039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霍尼韦尔</w:t>
            </w:r>
          </w:p>
        </w:tc>
        <w:tc>
          <w:tcPr>
            <w:tcW w:w="1701" w:type="dxa"/>
            <w:vAlign w:val="center"/>
          </w:tcPr>
          <w:p w14:paraId="76D308A3">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西门子</w:t>
            </w:r>
          </w:p>
        </w:tc>
      </w:tr>
      <w:tr w14:paraId="2946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1745E51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29</w:t>
            </w:r>
          </w:p>
        </w:tc>
        <w:tc>
          <w:tcPr>
            <w:tcW w:w="3103" w:type="dxa"/>
            <w:shd w:val="clear" w:color="000000" w:fill="auto"/>
            <w:vAlign w:val="center"/>
          </w:tcPr>
          <w:p w14:paraId="1224DEAE">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电动蝶阀</w:t>
            </w:r>
          </w:p>
        </w:tc>
        <w:tc>
          <w:tcPr>
            <w:tcW w:w="1716" w:type="dxa"/>
            <w:vAlign w:val="center"/>
          </w:tcPr>
          <w:p w14:paraId="049B3CF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天津塘沽</w:t>
            </w:r>
          </w:p>
        </w:tc>
        <w:tc>
          <w:tcPr>
            <w:tcW w:w="1701" w:type="dxa"/>
            <w:vAlign w:val="center"/>
          </w:tcPr>
          <w:p w14:paraId="728F079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上海冠龙</w:t>
            </w:r>
          </w:p>
        </w:tc>
        <w:tc>
          <w:tcPr>
            <w:tcW w:w="1701" w:type="dxa"/>
            <w:vAlign w:val="center"/>
          </w:tcPr>
          <w:p w14:paraId="4425CF6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上海精嘉</w:t>
            </w:r>
          </w:p>
        </w:tc>
      </w:tr>
      <w:tr w14:paraId="401D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72A09C7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30</w:t>
            </w:r>
          </w:p>
        </w:tc>
        <w:tc>
          <w:tcPr>
            <w:tcW w:w="3103" w:type="dxa"/>
            <w:shd w:val="clear" w:color="000000" w:fill="auto"/>
            <w:vAlign w:val="center"/>
          </w:tcPr>
          <w:p w14:paraId="7EED463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闸阀、蝶阀、止回阀、减压阀、浮球阀</w:t>
            </w:r>
          </w:p>
        </w:tc>
        <w:tc>
          <w:tcPr>
            <w:tcW w:w="1716" w:type="dxa"/>
            <w:vAlign w:val="center"/>
          </w:tcPr>
          <w:p w14:paraId="6F36A38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天津塘沽</w:t>
            </w:r>
          </w:p>
        </w:tc>
        <w:tc>
          <w:tcPr>
            <w:tcW w:w="1701" w:type="dxa"/>
            <w:vAlign w:val="center"/>
          </w:tcPr>
          <w:p w14:paraId="12CFD46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上海冠龙</w:t>
            </w:r>
          </w:p>
        </w:tc>
        <w:tc>
          <w:tcPr>
            <w:tcW w:w="1701" w:type="dxa"/>
            <w:vAlign w:val="center"/>
          </w:tcPr>
          <w:p w14:paraId="0A5B234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越海</w:t>
            </w:r>
          </w:p>
        </w:tc>
      </w:tr>
      <w:tr w14:paraId="1C16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0434A09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w:t>
            </w:r>
          </w:p>
        </w:tc>
        <w:tc>
          <w:tcPr>
            <w:tcW w:w="3103" w:type="dxa"/>
            <w:shd w:val="clear" w:color="000000" w:fill="auto"/>
            <w:vAlign w:val="center"/>
          </w:tcPr>
          <w:p w14:paraId="63C94A2E">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铜类阀</w:t>
            </w:r>
          </w:p>
        </w:tc>
        <w:tc>
          <w:tcPr>
            <w:tcW w:w="1716" w:type="dxa"/>
            <w:vAlign w:val="center"/>
          </w:tcPr>
          <w:p w14:paraId="210FBC4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宁波埃美柯</w:t>
            </w:r>
          </w:p>
        </w:tc>
        <w:tc>
          <w:tcPr>
            <w:tcW w:w="1701" w:type="dxa"/>
            <w:vAlign w:val="center"/>
          </w:tcPr>
          <w:p w14:paraId="1E3D59C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天津塘高</w:t>
            </w:r>
          </w:p>
        </w:tc>
        <w:tc>
          <w:tcPr>
            <w:tcW w:w="1701" w:type="dxa"/>
            <w:vAlign w:val="center"/>
          </w:tcPr>
          <w:p w14:paraId="1FBDB92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永亨</w:t>
            </w:r>
          </w:p>
        </w:tc>
      </w:tr>
      <w:tr w14:paraId="0545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7F9EB81A">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w:t>
            </w:r>
          </w:p>
        </w:tc>
        <w:tc>
          <w:tcPr>
            <w:tcW w:w="3103" w:type="dxa"/>
            <w:shd w:val="clear" w:color="000000" w:fill="auto"/>
            <w:vAlign w:val="center"/>
          </w:tcPr>
          <w:p w14:paraId="18B98AD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不锈钢波纹管</w:t>
            </w:r>
          </w:p>
        </w:tc>
        <w:tc>
          <w:tcPr>
            <w:tcW w:w="1716" w:type="dxa"/>
            <w:vAlign w:val="center"/>
          </w:tcPr>
          <w:p w14:paraId="6433691B">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广州申隆</w:t>
            </w:r>
          </w:p>
        </w:tc>
        <w:tc>
          <w:tcPr>
            <w:tcW w:w="1701" w:type="dxa"/>
            <w:vAlign w:val="center"/>
          </w:tcPr>
          <w:p w14:paraId="0679C1C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北京兴达</w:t>
            </w:r>
          </w:p>
        </w:tc>
        <w:tc>
          <w:tcPr>
            <w:tcW w:w="1701" w:type="dxa"/>
            <w:vAlign w:val="center"/>
          </w:tcPr>
          <w:p w14:paraId="1CB46B4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广州量大</w:t>
            </w:r>
          </w:p>
        </w:tc>
      </w:tr>
      <w:tr w14:paraId="4AE9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5C4E744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33</w:t>
            </w:r>
          </w:p>
        </w:tc>
        <w:tc>
          <w:tcPr>
            <w:tcW w:w="3103" w:type="dxa"/>
            <w:shd w:val="clear" w:color="000000" w:fill="auto"/>
            <w:vAlign w:val="center"/>
          </w:tcPr>
          <w:p w14:paraId="5172329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弹簧减震器</w:t>
            </w:r>
          </w:p>
        </w:tc>
        <w:tc>
          <w:tcPr>
            <w:tcW w:w="1716" w:type="dxa"/>
            <w:vAlign w:val="center"/>
          </w:tcPr>
          <w:p w14:paraId="6B3B862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广州泰昌</w:t>
            </w:r>
          </w:p>
        </w:tc>
        <w:tc>
          <w:tcPr>
            <w:tcW w:w="1701" w:type="dxa"/>
            <w:vAlign w:val="center"/>
          </w:tcPr>
          <w:p w14:paraId="15B7A82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广州白云</w:t>
            </w:r>
          </w:p>
        </w:tc>
        <w:tc>
          <w:tcPr>
            <w:tcW w:w="1701" w:type="dxa"/>
            <w:vAlign w:val="center"/>
          </w:tcPr>
          <w:p w14:paraId="7A83CD8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广州华侨</w:t>
            </w:r>
          </w:p>
        </w:tc>
      </w:tr>
      <w:tr w14:paraId="16E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5E7878F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p>
        </w:tc>
        <w:tc>
          <w:tcPr>
            <w:tcW w:w="3103" w:type="dxa"/>
            <w:shd w:val="clear" w:color="000000" w:fill="auto"/>
            <w:vAlign w:val="center"/>
          </w:tcPr>
          <w:p w14:paraId="0F415B3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无缝钢管</w:t>
            </w:r>
          </w:p>
        </w:tc>
        <w:tc>
          <w:tcPr>
            <w:tcW w:w="1716" w:type="dxa"/>
            <w:vAlign w:val="center"/>
          </w:tcPr>
          <w:p w14:paraId="7BC5F9A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宝钢</w:t>
            </w:r>
          </w:p>
        </w:tc>
        <w:tc>
          <w:tcPr>
            <w:tcW w:w="1701" w:type="dxa"/>
            <w:vAlign w:val="center"/>
          </w:tcPr>
          <w:p w14:paraId="50ED49E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鞍钢</w:t>
            </w:r>
          </w:p>
        </w:tc>
        <w:tc>
          <w:tcPr>
            <w:tcW w:w="1701" w:type="dxa"/>
            <w:vAlign w:val="center"/>
          </w:tcPr>
          <w:p w14:paraId="1D313380">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广钢</w:t>
            </w:r>
          </w:p>
        </w:tc>
      </w:tr>
      <w:tr w14:paraId="3DD5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5A320B7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w:t>
            </w:r>
          </w:p>
        </w:tc>
        <w:tc>
          <w:tcPr>
            <w:tcW w:w="3103" w:type="dxa"/>
            <w:shd w:val="clear" w:color="000000" w:fill="auto"/>
            <w:vAlign w:val="center"/>
          </w:tcPr>
          <w:p w14:paraId="7B8C99D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镀锌钢管</w:t>
            </w:r>
          </w:p>
        </w:tc>
        <w:tc>
          <w:tcPr>
            <w:tcW w:w="1716" w:type="dxa"/>
            <w:vAlign w:val="center"/>
          </w:tcPr>
          <w:p w14:paraId="00F85EE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广钢</w:t>
            </w:r>
          </w:p>
        </w:tc>
        <w:tc>
          <w:tcPr>
            <w:tcW w:w="1701" w:type="dxa"/>
            <w:vAlign w:val="center"/>
          </w:tcPr>
          <w:p w14:paraId="3B6033F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广州联兴</w:t>
            </w:r>
          </w:p>
        </w:tc>
        <w:tc>
          <w:tcPr>
            <w:tcW w:w="1701" w:type="dxa"/>
            <w:vAlign w:val="center"/>
          </w:tcPr>
          <w:p w14:paraId="58376CD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珠江</w:t>
            </w:r>
          </w:p>
        </w:tc>
      </w:tr>
      <w:tr w14:paraId="0186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7E3E41F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36</w:t>
            </w:r>
          </w:p>
        </w:tc>
        <w:tc>
          <w:tcPr>
            <w:tcW w:w="3103" w:type="dxa"/>
            <w:shd w:val="clear" w:color="000000" w:fill="auto"/>
            <w:vAlign w:val="center"/>
          </w:tcPr>
          <w:p w14:paraId="572AF0B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排气扇</w:t>
            </w:r>
          </w:p>
        </w:tc>
        <w:tc>
          <w:tcPr>
            <w:tcW w:w="1716" w:type="dxa"/>
            <w:vAlign w:val="center"/>
          </w:tcPr>
          <w:p w14:paraId="1D2FC84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松下</w:t>
            </w:r>
          </w:p>
        </w:tc>
        <w:tc>
          <w:tcPr>
            <w:tcW w:w="1701" w:type="dxa"/>
            <w:vAlign w:val="center"/>
          </w:tcPr>
          <w:p w14:paraId="247879AA">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绿岛风</w:t>
            </w:r>
          </w:p>
        </w:tc>
        <w:tc>
          <w:tcPr>
            <w:tcW w:w="1701" w:type="dxa"/>
            <w:vAlign w:val="center"/>
          </w:tcPr>
          <w:p w14:paraId="04B011E7">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正野</w:t>
            </w:r>
          </w:p>
        </w:tc>
      </w:tr>
      <w:tr w14:paraId="16C9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7BF5F2D9">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37</w:t>
            </w:r>
          </w:p>
        </w:tc>
        <w:tc>
          <w:tcPr>
            <w:tcW w:w="3103" w:type="dxa"/>
            <w:shd w:val="clear" w:color="000000" w:fill="auto"/>
            <w:vAlign w:val="center"/>
          </w:tcPr>
          <w:p w14:paraId="1399346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综合布线(面板模块、六类非屏蔽网络线、配线架模块)</w:t>
            </w:r>
          </w:p>
        </w:tc>
        <w:tc>
          <w:tcPr>
            <w:tcW w:w="1716" w:type="dxa"/>
            <w:vAlign w:val="center"/>
          </w:tcPr>
          <w:p w14:paraId="5ACA27CE">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安普(AMP)</w:t>
            </w:r>
          </w:p>
        </w:tc>
        <w:tc>
          <w:tcPr>
            <w:tcW w:w="1701" w:type="dxa"/>
            <w:vAlign w:val="center"/>
          </w:tcPr>
          <w:p w14:paraId="18FA0CF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美国西蒙</w:t>
            </w:r>
          </w:p>
        </w:tc>
        <w:tc>
          <w:tcPr>
            <w:tcW w:w="1701" w:type="dxa"/>
            <w:vAlign w:val="center"/>
          </w:tcPr>
          <w:p w14:paraId="6CF6891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德特威勒</w:t>
            </w:r>
          </w:p>
        </w:tc>
      </w:tr>
      <w:tr w14:paraId="33E0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shd w:val="clear" w:color="auto" w:fill="auto"/>
            <w:vAlign w:val="top"/>
          </w:tcPr>
          <w:p w14:paraId="4EE79F8C">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38</w:t>
            </w:r>
          </w:p>
        </w:tc>
        <w:tc>
          <w:tcPr>
            <w:tcW w:w="3103" w:type="dxa"/>
            <w:shd w:val="clear" w:color="000000" w:fill="auto"/>
            <w:vAlign w:val="center"/>
          </w:tcPr>
          <w:p w14:paraId="46EA0974">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不锈钢给水管</w:t>
            </w:r>
          </w:p>
        </w:tc>
        <w:tc>
          <w:tcPr>
            <w:tcW w:w="1716" w:type="dxa"/>
            <w:vAlign w:val="center"/>
          </w:tcPr>
          <w:p w14:paraId="2E3C964D">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民生</w:t>
            </w:r>
          </w:p>
        </w:tc>
        <w:tc>
          <w:tcPr>
            <w:tcW w:w="1701" w:type="dxa"/>
            <w:vAlign w:val="center"/>
          </w:tcPr>
          <w:p w14:paraId="4F722E0F">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中捷</w:t>
            </w:r>
          </w:p>
        </w:tc>
        <w:tc>
          <w:tcPr>
            <w:tcW w:w="1701" w:type="dxa"/>
            <w:vAlign w:val="center"/>
          </w:tcPr>
          <w:p w14:paraId="229463C1">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美亚</w:t>
            </w:r>
          </w:p>
        </w:tc>
      </w:tr>
      <w:tr w14:paraId="1202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vAlign w:val="top"/>
          </w:tcPr>
          <w:p w14:paraId="628C5A36">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39</w:t>
            </w:r>
          </w:p>
        </w:tc>
        <w:tc>
          <w:tcPr>
            <w:tcW w:w="3103" w:type="dxa"/>
            <w:vAlign w:val="center"/>
          </w:tcPr>
          <w:p w14:paraId="5DF41D2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防水涂料</w:t>
            </w:r>
          </w:p>
        </w:tc>
        <w:tc>
          <w:tcPr>
            <w:tcW w:w="1716" w:type="dxa"/>
            <w:vAlign w:val="center"/>
          </w:tcPr>
          <w:p w14:paraId="293CB3E2">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德高</w:t>
            </w:r>
          </w:p>
        </w:tc>
        <w:tc>
          <w:tcPr>
            <w:tcW w:w="1701" w:type="dxa"/>
            <w:vAlign w:val="center"/>
          </w:tcPr>
          <w:p w14:paraId="026A7985">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东方雨虹</w:t>
            </w:r>
          </w:p>
        </w:tc>
        <w:tc>
          <w:tcPr>
            <w:tcW w:w="1701" w:type="dxa"/>
            <w:vAlign w:val="center"/>
          </w:tcPr>
          <w:p w14:paraId="0A1C17B8">
            <w:pPr>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台实</w:t>
            </w:r>
          </w:p>
        </w:tc>
      </w:tr>
    </w:tbl>
    <w:p w14:paraId="3F742A9D">
      <w:pPr>
        <w:pStyle w:val="7"/>
        <w:keepNext w:val="0"/>
        <w:keepLines w:val="0"/>
        <w:pageBreakBefore w:val="0"/>
        <w:kinsoku/>
        <w:wordWrap/>
        <w:overflowPunct/>
        <w:topLinePunct w:val="0"/>
        <w:bidi w:val="0"/>
        <w:spacing w:line="288" w:lineRule="auto"/>
        <w:ind w:firstLine="562"/>
        <w:textAlignment w:val="auto"/>
        <w:rPr>
          <w:rFonts w:ascii="仿宋" w:hAnsi="仿宋" w:eastAsia="仿宋" w:cs="宋体"/>
          <w:color w:val="000000" w:themeColor="text1"/>
          <w:sz w:val="24"/>
          <w:szCs w:val="24"/>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ingFang SC">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1"/>
  <w:displayVerticalDrawingGridEvery w:val="1"/>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78086C"/>
    <w:rsid w:val="12891A4E"/>
    <w:rsid w:val="2D650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0" w:firstLineChars="0"/>
      <w:jc w:val="both"/>
    </w:pPr>
    <w:rPr>
      <w:rFonts w:ascii="仿宋" w:hAnsi="仿宋" w:eastAsia="仿宋" w:cs="Times New Roman"/>
      <w:kern w:val="2"/>
      <w:sz w:val="24"/>
      <w:szCs w:val="24"/>
      <w:lang w:val="en-US" w:eastAsia="zh-CN" w:bidi="ar-SA"/>
    </w:rPr>
  </w:style>
  <w:style w:type="paragraph" w:styleId="2">
    <w:name w:val="heading 1"/>
    <w:basedOn w:val="1"/>
    <w:qFormat/>
    <w:uiPriority w:val="0"/>
    <w:pPr>
      <w:keepNext/>
      <w:keepLines/>
      <w:spacing w:before="120" w:beforeAutospacing="0" w:after="120" w:afterAutospacing="0" w:line="288" w:lineRule="auto"/>
      <w:outlineLvl w:val="0"/>
    </w:pPr>
    <w:rPr>
      <w:b/>
      <w:kern w:val="44"/>
      <w:sz w:val="24"/>
    </w:rPr>
  </w:style>
  <w:style w:type="paragraph" w:styleId="3">
    <w:name w:val="heading 3"/>
    <w:basedOn w:val="1"/>
    <w:next w:val="1"/>
    <w:qFormat/>
    <w:uiPriority w:val="9"/>
    <w:pPr>
      <w:keepNext/>
      <w:keepLines/>
      <w:spacing w:before="0" w:after="0" w:line="408" w:lineRule="auto"/>
      <w:outlineLvl w:val="2"/>
    </w:pPr>
    <w:rPr>
      <w:b/>
      <w:bCs/>
      <w:color w:val="1A1A1A"/>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Indent"/>
    <w:basedOn w:val="1"/>
    <w:link w:val="11"/>
    <w:qFormat/>
    <w:uiPriority w:val="0"/>
    <w:pPr>
      <w:ind w:firstLine="562" w:firstLineChars="200"/>
    </w:pPr>
    <w:rPr>
      <w:rFonts w:ascii="仿宋" w:hAnsi="仿宋" w:eastAsia="仿宋"/>
      <w:sz w:val="24"/>
      <w:szCs w:val="20"/>
    </w:rPr>
  </w:style>
  <w:style w:type="paragraph" w:styleId="6">
    <w:name w:val="Plain Text"/>
    <w:basedOn w:val="1"/>
    <w:uiPriority w:val="0"/>
    <w:rPr>
      <w:rFonts w:ascii="宋体" w:hAnsi="Courier New"/>
      <w:szCs w:val="21"/>
    </w:rPr>
  </w:style>
  <w:style w:type="paragraph" w:styleId="7">
    <w:name w:val="Body Text First Indent 2"/>
    <w:basedOn w:val="5"/>
    <w:qFormat/>
    <w:uiPriority w:val="0"/>
    <w:pPr>
      <w:ind w:firstLine="420"/>
    </w:pPr>
  </w:style>
  <w:style w:type="character" w:styleId="10">
    <w:name w:val="annotation reference"/>
    <w:uiPriority w:val="0"/>
    <w:rPr>
      <w:sz w:val="21"/>
      <w:szCs w:val="21"/>
    </w:rPr>
  </w:style>
  <w:style w:type="character" w:customStyle="1" w:styleId="11">
    <w:name w:val="正文文本缩进 Char"/>
    <w:link w:val="5"/>
    <w:qFormat/>
    <w:uiPriority w:val="0"/>
    <w:rPr>
      <w:rFonts w:ascii="仿宋" w:hAnsi="仿宋" w:eastAsia="仿宋"/>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12876</Words>
  <Characters>13428</Characters>
  <TotalTime>1</TotalTime>
  <ScaleCrop>false</ScaleCrop>
  <LinksUpToDate>false</LinksUpToDate>
  <CharactersWithSpaces>13528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2026-02-04T13:34:00Z</dcterms:created>
  <dc:creator>Administrator</dc:creator>
  <cp:lastModifiedBy>YAN</cp:lastModifiedBy>
  <dcterms:modified xsi:type="dcterms:W3CDTF">2026-02-04T08:40:22Z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eyJoZGlkIjoiNmI0OWZiNTc4ZjllMjA1NzFhOGJlY2NjMmNjNWY3YmIiLCJ1c2VySWQiOiI0NDM4MDEwMzAifQ==</vt:lpwstr>
  </property>
  <property fmtid="{D5CDD505-2E9C-101B-9397-08002B2CF9AE}" pid="3" name="KSOProductBuildVer">
    <vt:lpwstr>2052-12.1.0.25225</vt:lpwstr>
  </property>
  <property fmtid="{D5CDD505-2E9C-101B-9397-08002B2CF9AE}" pid="4" name="ICV">
    <vt:lpwstr>41496244ADF4492D9FC04F0734406786_12</vt:lpwstr>
  </property>
</Properties>
</file>