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67297C">
      <w:pPr>
        <w:pStyle w:val="2"/>
        <w:spacing w:before="240" w:after="240" w:line="240" w:lineRule="auto"/>
        <w:jc w:val="center"/>
        <w:rPr>
          <w:rFonts w:ascii="楷体" w:hAnsi="楷体" w:eastAsia="楷体"/>
          <w:color w:val="000000"/>
          <w:sz w:val="28"/>
          <w:szCs w:val="28"/>
          <w:highlight w:val="none"/>
        </w:rPr>
      </w:pPr>
      <w:bookmarkStart w:id="0" w:name="_Toc9947482"/>
      <w:bookmarkStart w:id="1" w:name="_Toc25713"/>
      <w:r>
        <w:rPr>
          <w:rFonts w:hint="eastAsia" w:ascii="楷体" w:hAnsi="楷体" w:eastAsia="楷体" w:cs="宋体"/>
          <w:bCs w:val="0"/>
          <w:color w:val="000000"/>
          <w:kern w:val="2"/>
          <w:sz w:val="28"/>
          <w:szCs w:val="28"/>
          <w:highlight w:val="none"/>
        </w:rPr>
        <w:t>2026-2029年膳食物资（</w:t>
      </w:r>
      <w:r>
        <w:rPr>
          <w:rFonts w:hint="eastAsia" w:ascii="楷体" w:hAnsi="楷体" w:eastAsia="楷体" w:cs="宋体"/>
          <w:bCs w:val="0"/>
          <w:color w:val="000000"/>
          <w:kern w:val="2"/>
          <w:sz w:val="28"/>
          <w:szCs w:val="28"/>
          <w:highlight w:val="none"/>
          <w:lang w:val="en-US" w:eastAsia="zh-CN"/>
        </w:rPr>
        <w:t>餐饮</w:t>
      </w:r>
      <w:r>
        <w:rPr>
          <w:rFonts w:hint="eastAsia" w:ascii="楷体" w:hAnsi="楷体" w:eastAsia="楷体" w:cs="宋体"/>
          <w:bCs w:val="0"/>
          <w:color w:val="000000"/>
          <w:kern w:val="2"/>
          <w:sz w:val="28"/>
          <w:szCs w:val="28"/>
          <w:highlight w:val="none"/>
        </w:rPr>
        <w:t>耗材类）配送服务项目</w:t>
      </w:r>
    </w:p>
    <w:p w14:paraId="59AF67F7">
      <w:pPr>
        <w:pStyle w:val="2"/>
        <w:spacing w:before="240" w:after="240" w:line="240" w:lineRule="auto"/>
        <w:jc w:val="center"/>
        <w:rPr>
          <w:rFonts w:ascii="楷体" w:hAnsi="楷体" w:eastAsia="楷体"/>
          <w:bCs w:val="0"/>
          <w:color w:val="000000"/>
          <w:sz w:val="28"/>
          <w:szCs w:val="28"/>
          <w:highlight w:val="none"/>
        </w:rPr>
      </w:pPr>
      <w:r>
        <w:rPr>
          <w:rFonts w:hint="eastAsia" w:ascii="楷体" w:hAnsi="楷体" w:eastAsia="楷体"/>
          <w:color w:val="000000"/>
          <w:sz w:val="28"/>
          <w:szCs w:val="28"/>
          <w:highlight w:val="none"/>
        </w:rPr>
        <w:t>用户需求</w:t>
      </w:r>
      <w:bookmarkEnd w:id="0"/>
      <w:r>
        <w:rPr>
          <w:rFonts w:hint="eastAsia" w:ascii="楷体" w:hAnsi="楷体" w:eastAsia="楷体"/>
          <w:color w:val="000000"/>
          <w:sz w:val="28"/>
          <w:szCs w:val="28"/>
          <w:highlight w:val="none"/>
        </w:rPr>
        <w:t>书</w:t>
      </w:r>
      <w:bookmarkEnd w:id="1"/>
    </w:p>
    <w:p w14:paraId="1783125B">
      <w:pPr>
        <w:pStyle w:val="28"/>
        <w:tabs>
          <w:tab w:val="left" w:pos="540"/>
        </w:tabs>
        <w:snapToGrid w:val="0"/>
        <w:spacing w:line="360" w:lineRule="auto"/>
        <w:rPr>
          <w:rFonts w:hint="eastAsia" w:ascii="楷体" w:hAnsi="楷体" w:eastAsia="楷体" w:cs="楷体"/>
          <w:b/>
          <w:color w:val="auto"/>
          <w:sz w:val="21"/>
          <w:szCs w:val="21"/>
          <w:highlight w:val="none"/>
        </w:rPr>
      </w:pPr>
      <w:bookmarkStart w:id="2" w:name="_Toc493695911"/>
      <w:bookmarkStart w:id="3" w:name="_Toc488250284"/>
      <w:r>
        <w:rPr>
          <w:rFonts w:hint="eastAsia" w:ascii="楷体" w:hAnsi="楷体" w:eastAsia="楷体" w:cs="楷体"/>
          <w:b/>
          <w:color w:val="auto"/>
          <w:sz w:val="21"/>
          <w:szCs w:val="21"/>
          <w:highlight w:val="none"/>
        </w:rPr>
        <w:t>有关说明</w:t>
      </w:r>
    </w:p>
    <w:p w14:paraId="5A1899F5">
      <w:pPr>
        <w:numPr>
          <w:ilvl w:val="-1"/>
          <w:numId w:val="0"/>
        </w:numPr>
        <w:tabs>
          <w:tab w:val="left" w:pos="567"/>
        </w:tabs>
        <w:snapToGrid w:val="0"/>
        <w:spacing w:line="360" w:lineRule="auto"/>
        <w:ind w:left="0" w:firstLine="0"/>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lang w:val="en-US" w:eastAsia="zh-CN"/>
        </w:rPr>
        <w:t>一</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rPr>
        <w:t>投标人须对本项目的采购标的进行整体投标，任何只对本项目采购标的其中一部分内容、数量进行的投标都被视为无效投标。</w:t>
      </w:r>
    </w:p>
    <w:p w14:paraId="1D56844A">
      <w:pPr>
        <w:numPr>
          <w:ilvl w:val="-1"/>
          <w:numId w:val="0"/>
        </w:numPr>
        <w:tabs>
          <w:tab w:val="left" w:pos="567"/>
        </w:tabs>
        <w:snapToGrid w:val="0"/>
        <w:spacing w:line="360" w:lineRule="auto"/>
        <w:ind w:left="0" w:firstLine="0"/>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lang w:val="en-US" w:eastAsia="zh-CN"/>
        </w:rPr>
        <w:t>二</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rPr>
        <w:t>采购需求中标注“★”号条款为实质性条款，必须逐条进行响应，有任何一条负偏离的，将导致无效投标。</w:t>
      </w:r>
    </w:p>
    <w:p w14:paraId="2828A00B">
      <w:pPr>
        <w:numPr>
          <w:ilvl w:val="-1"/>
          <w:numId w:val="0"/>
        </w:numPr>
        <w:tabs>
          <w:tab w:val="left" w:pos="567"/>
        </w:tabs>
        <w:snapToGrid w:val="0"/>
        <w:spacing w:line="360" w:lineRule="auto"/>
        <w:ind w:left="0" w:firstLine="0"/>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lang w:val="en-US" w:eastAsia="zh-CN"/>
        </w:rPr>
        <w:t>三</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rPr>
        <w:t>采购需求中标注“▲”号条款为重要技术参数，但不作为无效投标条款。</w:t>
      </w:r>
    </w:p>
    <w:p w14:paraId="3948F76C">
      <w:pPr>
        <w:pStyle w:val="28"/>
        <w:numPr>
          <w:ilvl w:val="255"/>
          <w:numId w:val="0"/>
        </w:numPr>
        <w:tabs>
          <w:tab w:val="left" w:pos="540"/>
          <w:tab w:val="left" w:pos="993"/>
        </w:tabs>
        <w:snapToGrid w:val="0"/>
        <w:spacing w:line="360" w:lineRule="auto"/>
        <w:rPr>
          <w:rFonts w:hint="eastAsia" w:ascii="楷体" w:hAnsi="楷体" w:eastAsia="楷体" w:cs="楷体"/>
          <w:b/>
          <w:bCs/>
          <w:color w:val="auto"/>
          <w:sz w:val="21"/>
          <w:szCs w:val="21"/>
          <w:highlight w:val="none"/>
          <w:lang w:eastAsia="zh-CN"/>
        </w:rPr>
      </w:pPr>
      <w:r>
        <w:rPr>
          <w:rFonts w:hint="eastAsia" w:ascii="楷体" w:hAnsi="楷体" w:eastAsia="楷体" w:cs="楷体"/>
          <w:b/>
          <w:color w:val="000000"/>
          <w:sz w:val="21"/>
          <w:highlight w:val="none"/>
          <w:u w:val="single"/>
          <w:lang w:eastAsia="zh-CN"/>
        </w:rPr>
        <w:t>（</w:t>
      </w:r>
      <w:r>
        <w:rPr>
          <w:rFonts w:hint="eastAsia" w:ascii="楷体" w:hAnsi="楷体" w:eastAsia="楷体" w:cs="楷体"/>
          <w:b/>
          <w:color w:val="000000"/>
          <w:sz w:val="21"/>
          <w:highlight w:val="none"/>
          <w:u w:val="single"/>
          <w:lang w:val="en-US" w:eastAsia="zh-CN"/>
        </w:rPr>
        <w:t>四）</w:t>
      </w:r>
      <w:r>
        <w:rPr>
          <w:rFonts w:hint="eastAsia" w:ascii="楷体" w:hAnsi="楷体" w:eastAsia="楷体" w:cs="楷体"/>
          <w:b/>
          <w:bCs/>
          <w:color w:val="auto"/>
          <w:sz w:val="21"/>
          <w:szCs w:val="21"/>
          <w:highlight w:val="none"/>
        </w:rPr>
        <w:t>服务范围：</w:t>
      </w:r>
      <w:r>
        <w:rPr>
          <w:rFonts w:hint="eastAsia" w:ascii="楷体" w:hAnsi="楷体" w:eastAsia="楷体" w:cs="楷体"/>
          <w:b w:val="0"/>
          <w:bCs w:val="0"/>
          <w:color w:val="auto"/>
          <w:sz w:val="21"/>
          <w:szCs w:val="21"/>
          <w:highlight w:val="none"/>
        </w:rPr>
        <w:t>2026-2029年膳食物资（餐饮耗材类）配送服务</w:t>
      </w:r>
      <w:r>
        <w:rPr>
          <w:rFonts w:hint="eastAsia" w:ascii="楷体" w:hAnsi="楷体" w:eastAsia="楷体" w:cs="楷体"/>
          <w:b w:val="0"/>
          <w:bCs w:val="0"/>
          <w:color w:val="auto"/>
          <w:sz w:val="21"/>
          <w:szCs w:val="21"/>
          <w:highlight w:val="none"/>
          <w:lang w:eastAsia="zh-CN"/>
        </w:rPr>
        <w:t>。</w:t>
      </w:r>
    </w:p>
    <w:p w14:paraId="490C49EF">
      <w:pPr>
        <w:pStyle w:val="28"/>
        <w:numPr>
          <w:ilvl w:val="255"/>
          <w:numId w:val="0"/>
        </w:numPr>
        <w:tabs>
          <w:tab w:val="left" w:pos="540"/>
          <w:tab w:val="left" w:pos="993"/>
        </w:tabs>
        <w:snapToGrid w:val="0"/>
        <w:spacing w:line="360" w:lineRule="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五</w:t>
      </w:r>
      <w:r>
        <w:rPr>
          <w:rFonts w:hint="eastAsia" w:ascii="楷体" w:hAnsi="楷体" w:eastAsia="楷体" w:cs="楷体"/>
          <w:b/>
          <w:bCs/>
          <w:color w:val="auto"/>
          <w:sz w:val="21"/>
          <w:szCs w:val="21"/>
          <w:highlight w:val="none"/>
        </w:rPr>
        <w:t>）服务期限：</w:t>
      </w:r>
      <w:r>
        <w:rPr>
          <w:rFonts w:hint="eastAsia" w:ascii="楷体" w:hAnsi="楷体" w:eastAsia="楷体" w:cs="楷体"/>
          <w:color w:val="auto"/>
          <w:sz w:val="21"/>
          <w:szCs w:val="21"/>
          <w:highlight w:val="none"/>
        </w:rPr>
        <w:t>3年（合同签订后且首次配送服务之日为本合同起始日）或采购金额累计达到总预算金额670万元时止，以先达到者为准。</w:t>
      </w:r>
    </w:p>
    <w:p w14:paraId="7404FEAD">
      <w:pPr>
        <w:pStyle w:val="28"/>
        <w:numPr>
          <w:ilvl w:val="255"/>
          <w:numId w:val="0"/>
        </w:numPr>
        <w:tabs>
          <w:tab w:val="left" w:pos="540"/>
          <w:tab w:val="left" w:pos="993"/>
        </w:tabs>
        <w:snapToGrid w:val="0"/>
        <w:spacing w:line="360" w:lineRule="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六</w:t>
      </w:r>
      <w:r>
        <w:rPr>
          <w:rFonts w:hint="eastAsia" w:ascii="楷体" w:hAnsi="楷体" w:eastAsia="楷体" w:cs="楷体"/>
          <w:b/>
          <w:bCs/>
          <w:color w:val="auto"/>
          <w:sz w:val="21"/>
          <w:szCs w:val="21"/>
          <w:highlight w:val="none"/>
        </w:rPr>
        <w:t>）服务标准：</w:t>
      </w:r>
      <w:r>
        <w:rPr>
          <w:rFonts w:hint="eastAsia" w:ascii="楷体" w:hAnsi="楷体" w:eastAsia="楷体" w:cs="楷体"/>
          <w:color w:val="auto"/>
          <w:sz w:val="21"/>
          <w:szCs w:val="21"/>
          <w:highlight w:val="none"/>
        </w:rPr>
        <w:t>中标人必须按国家、行业的标准及招标文件的要求为采购人提供服务。</w:t>
      </w:r>
    </w:p>
    <w:p w14:paraId="4906ACA9">
      <w:pPr>
        <w:pStyle w:val="28"/>
        <w:tabs>
          <w:tab w:val="left" w:pos="540"/>
          <w:tab w:val="left" w:pos="993"/>
        </w:tabs>
        <w:snapToGrid w:val="0"/>
        <w:spacing w:line="360" w:lineRule="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highlight w:val="none"/>
        </w:rPr>
        <w:t>（</w:t>
      </w:r>
      <w:r>
        <w:rPr>
          <w:rFonts w:hint="eastAsia" w:ascii="楷体" w:hAnsi="楷体" w:eastAsia="楷体" w:cs="楷体"/>
          <w:b/>
          <w:bCs/>
          <w:color w:val="auto"/>
          <w:sz w:val="21"/>
          <w:highlight w:val="none"/>
          <w:lang w:val="en-US" w:eastAsia="zh-CN"/>
        </w:rPr>
        <w:t>七</w:t>
      </w:r>
      <w:r>
        <w:rPr>
          <w:rFonts w:hint="eastAsia" w:ascii="楷体" w:hAnsi="楷体" w:eastAsia="楷体" w:cs="楷体"/>
          <w:b/>
          <w:bCs/>
          <w:color w:val="auto"/>
          <w:sz w:val="21"/>
          <w:highlight w:val="none"/>
        </w:rPr>
        <w:t>）服务要求：</w:t>
      </w:r>
      <w:r>
        <w:rPr>
          <w:rFonts w:hint="eastAsia" w:ascii="楷体" w:hAnsi="楷体" w:eastAsia="楷体" w:cs="楷体"/>
          <w:color w:val="auto"/>
          <w:sz w:val="21"/>
          <w:highlight w:val="none"/>
        </w:rPr>
        <w:t>提供的服务须满足采购需求的要求、投标文件中的相关承诺及合同约定要求。</w:t>
      </w:r>
    </w:p>
    <w:p w14:paraId="0AF65E04">
      <w:pPr>
        <w:adjustRightInd w:val="0"/>
        <w:snapToGrid w:val="0"/>
        <w:spacing w:line="360" w:lineRule="auto"/>
        <w:ind w:left="0"/>
        <w:rPr>
          <w:rFonts w:hint="eastAsia" w:ascii="宋体" w:hAnsi="宋体" w:eastAsia="宋体"/>
          <w:b/>
          <w:color w:val="000000"/>
          <w:sz w:val="24"/>
          <w:highlight w:val="none"/>
          <w:u w:val="single"/>
          <w:lang w:eastAsia="zh-CN"/>
        </w:rPr>
      </w:pPr>
    </w:p>
    <w:bookmarkEnd w:id="2"/>
    <w:bookmarkEnd w:id="3"/>
    <w:p w14:paraId="287FDBCE">
      <w:pPr>
        <w:numPr>
          <w:ilvl w:val="0"/>
          <w:numId w:val="1"/>
        </w:numPr>
        <w:spacing w:line="360" w:lineRule="auto"/>
        <w:outlineLvl w:val="0"/>
        <w:rPr>
          <w:rFonts w:ascii="楷体" w:hAnsi="楷体" w:eastAsia="楷体"/>
          <w:b/>
          <w:color w:val="000000"/>
          <w:sz w:val="28"/>
          <w:szCs w:val="28"/>
          <w:highlight w:val="none"/>
        </w:rPr>
      </w:pPr>
      <w:bookmarkStart w:id="4" w:name="_Toc15060"/>
      <w:r>
        <w:rPr>
          <w:rFonts w:hint="eastAsia" w:ascii="楷体" w:hAnsi="楷体" w:eastAsia="楷体"/>
          <w:b/>
          <w:color w:val="000000"/>
          <w:sz w:val="28"/>
          <w:szCs w:val="28"/>
          <w:highlight w:val="none"/>
        </w:rPr>
        <w:t>★项目概况</w:t>
      </w:r>
      <w:bookmarkEnd w:id="4"/>
    </w:p>
    <w:p w14:paraId="4C202D60">
      <w:pPr>
        <w:shd w:val="clear" w:color="auto" w:fill="FFFFFF"/>
        <w:snapToGrid w:val="0"/>
        <w:spacing w:line="360" w:lineRule="auto"/>
        <w:ind w:left="420" w:hanging="420"/>
        <w:jc w:val="left"/>
        <w:rPr>
          <w:rFonts w:ascii="楷体" w:hAnsi="楷体" w:eastAsia="楷体" w:cs="楷体"/>
          <w:bCs/>
          <w:szCs w:val="21"/>
          <w:highlight w:val="none"/>
        </w:rPr>
      </w:pPr>
      <w:bookmarkStart w:id="5" w:name="_Toc9947486"/>
      <w:r>
        <w:rPr>
          <w:rFonts w:ascii="楷体" w:hAnsi="楷体" w:eastAsia="楷体" w:cs="楷体"/>
          <w:bCs/>
          <w:szCs w:val="21"/>
          <w:highlight w:val="none"/>
        </w:rPr>
        <w:t>1.</w:t>
      </w:r>
      <w:r>
        <w:rPr>
          <w:rFonts w:hint="eastAsia" w:ascii="楷体" w:hAnsi="楷体" w:eastAsia="楷体" w:cs="楷体"/>
          <w:bCs/>
          <w:szCs w:val="21"/>
          <w:highlight w:val="none"/>
        </w:rPr>
        <w:t>合同金额：本项目按实结算，采购预算为￥</w:t>
      </w:r>
      <w:r>
        <w:rPr>
          <w:rFonts w:ascii="楷体" w:hAnsi="楷体" w:eastAsia="楷体" w:cs="楷体"/>
          <w:bCs/>
          <w:szCs w:val="21"/>
          <w:highlight w:val="none"/>
        </w:rPr>
        <w:t>670</w:t>
      </w:r>
      <w:r>
        <w:rPr>
          <w:rFonts w:hint="eastAsia" w:ascii="楷体" w:hAnsi="楷体" w:eastAsia="楷体" w:cs="楷体"/>
          <w:bCs/>
          <w:szCs w:val="21"/>
          <w:highlight w:val="none"/>
        </w:rPr>
        <w:t>万</w:t>
      </w:r>
      <w:r>
        <w:rPr>
          <w:rFonts w:ascii="楷体" w:hAnsi="楷体" w:eastAsia="楷体" w:cs="楷体"/>
          <w:bCs/>
          <w:szCs w:val="21"/>
          <w:highlight w:val="none"/>
        </w:rPr>
        <w:t>/3年（含清单内、清单外产品采购金额），采购年限为3年，合同一年一签，各期合同</w:t>
      </w:r>
      <w:r>
        <w:rPr>
          <w:rFonts w:hint="eastAsia" w:ascii="楷体" w:hAnsi="楷体" w:eastAsia="楷体" w:cs="楷体"/>
          <w:bCs/>
          <w:szCs w:val="21"/>
          <w:highlight w:val="none"/>
        </w:rPr>
        <w:t>预算</w:t>
      </w:r>
      <w:r>
        <w:rPr>
          <w:rFonts w:ascii="楷体" w:hAnsi="楷体" w:eastAsia="楷体" w:cs="楷体"/>
          <w:bCs/>
          <w:szCs w:val="21"/>
          <w:highlight w:val="none"/>
        </w:rPr>
        <w:t>金额为</w:t>
      </w:r>
      <w:r>
        <w:rPr>
          <w:rFonts w:hint="eastAsia" w:ascii="楷体" w:hAnsi="楷体" w:eastAsia="楷体" w:cs="楷体"/>
          <w:bCs/>
          <w:szCs w:val="21"/>
          <w:highlight w:val="none"/>
        </w:rPr>
        <w:t>201万元</w:t>
      </w:r>
      <w:r>
        <w:rPr>
          <w:rFonts w:hint="eastAsia" w:ascii="楷体" w:hAnsi="楷体" w:eastAsia="楷体" w:cs="楷体"/>
          <w:bCs/>
          <w:szCs w:val="21"/>
          <w:highlight w:val="none"/>
          <w:lang w:eastAsia="zh-CN"/>
        </w:rPr>
        <w:t>（</w:t>
      </w:r>
      <w:r>
        <w:rPr>
          <w:rFonts w:hint="eastAsia" w:ascii="楷体" w:hAnsi="楷体" w:eastAsia="楷体" w:cs="楷体"/>
          <w:bCs/>
          <w:szCs w:val="21"/>
          <w:highlight w:val="none"/>
          <w:lang w:val="en-US" w:eastAsia="zh-CN"/>
        </w:rPr>
        <w:t>第一期）</w:t>
      </w:r>
      <w:r>
        <w:rPr>
          <w:rFonts w:hint="eastAsia" w:ascii="楷体" w:hAnsi="楷体" w:eastAsia="楷体" w:cs="楷体"/>
          <w:bCs/>
          <w:szCs w:val="21"/>
          <w:highlight w:val="none"/>
        </w:rPr>
        <w:t>、221.10万元</w:t>
      </w:r>
      <w:r>
        <w:rPr>
          <w:rFonts w:hint="eastAsia" w:ascii="楷体" w:hAnsi="楷体" w:eastAsia="楷体" w:cs="楷体"/>
          <w:bCs/>
          <w:szCs w:val="21"/>
          <w:highlight w:val="none"/>
          <w:lang w:eastAsia="zh-CN"/>
        </w:rPr>
        <w:t>（</w:t>
      </w:r>
      <w:r>
        <w:rPr>
          <w:rFonts w:hint="eastAsia" w:ascii="楷体" w:hAnsi="楷体" w:eastAsia="楷体" w:cs="楷体"/>
          <w:bCs/>
          <w:szCs w:val="21"/>
          <w:highlight w:val="none"/>
          <w:lang w:val="en-US" w:eastAsia="zh-CN"/>
        </w:rPr>
        <w:t>第二期）</w:t>
      </w:r>
      <w:r>
        <w:rPr>
          <w:rFonts w:hint="eastAsia" w:ascii="楷体" w:hAnsi="楷体" w:eastAsia="楷体" w:cs="楷体"/>
          <w:bCs/>
          <w:szCs w:val="21"/>
          <w:highlight w:val="none"/>
        </w:rPr>
        <w:t>、247.90万元</w:t>
      </w:r>
      <w:r>
        <w:rPr>
          <w:rFonts w:hint="eastAsia" w:ascii="楷体" w:hAnsi="楷体" w:eastAsia="楷体" w:cs="楷体"/>
          <w:bCs/>
          <w:szCs w:val="21"/>
          <w:highlight w:val="none"/>
          <w:lang w:eastAsia="zh-CN"/>
        </w:rPr>
        <w:t>（</w:t>
      </w:r>
      <w:r>
        <w:rPr>
          <w:rFonts w:hint="eastAsia" w:ascii="楷体" w:hAnsi="楷体" w:eastAsia="楷体" w:cs="楷体"/>
          <w:bCs/>
          <w:szCs w:val="21"/>
          <w:highlight w:val="none"/>
          <w:lang w:val="en-US" w:eastAsia="zh-CN"/>
        </w:rPr>
        <w:t>第三期）</w:t>
      </w:r>
      <w:r>
        <w:rPr>
          <w:rFonts w:ascii="楷体" w:hAnsi="楷体" w:eastAsia="楷体" w:cs="楷体"/>
          <w:bCs/>
          <w:szCs w:val="21"/>
          <w:highlight w:val="none"/>
        </w:rPr>
        <w:t>。合同单价为中标单价，投标总报价仅用于价格评审。</w:t>
      </w:r>
    </w:p>
    <w:p w14:paraId="189F5D16">
      <w:pPr>
        <w:shd w:val="clear" w:color="auto" w:fill="FFFFFF"/>
        <w:snapToGrid w:val="0"/>
        <w:spacing w:line="360" w:lineRule="auto"/>
        <w:ind w:left="420" w:hanging="420"/>
        <w:jc w:val="left"/>
        <w:rPr>
          <w:rFonts w:ascii="楷体" w:hAnsi="楷体" w:eastAsia="楷体" w:cs="楷体"/>
          <w:bCs/>
          <w:szCs w:val="21"/>
          <w:highlight w:val="none"/>
        </w:rPr>
      </w:pPr>
      <w:bookmarkStart w:id="6" w:name="_Hlk229746658"/>
      <w:r>
        <w:rPr>
          <w:rFonts w:hint="eastAsia" w:ascii="楷体" w:hAnsi="楷体" w:eastAsia="楷体" w:cs="仿宋"/>
          <w:bCs/>
          <w:szCs w:val="21"/>
          <w:highlight w:val="none"/>
        </w:rPr>
        <w:t>2.合同供货期：3年（合同签订后且首次配送服务之日为本合同起始日）或采购金额累计达到总预算金额</w:t>
      </w:r>
      <w:r>
        <w:rPr>
          <w:rFonts w:ascii="楷体" w:hAnsi="楷体" w:eastAsia="楷体" w:cs="仿宋"/>
          <w:bCs/>
          <w:szCs w:val="21"/>
          <w:highlight w:val="none"/>
        </w:rPr>
        <w:t>670</w:t>
      </w:r>
      <w:r>
        <w:rPr>
          <w:rFonts w:hint="eastAsia" w:ascii="楷体" w:hAnsi="楷体" w:eastAsia="楷体" w:cs="仿宋"/>
          <w:bCs/>
          <w:szCs w:val="21"/>
          <w:highlight w:val="none"/>
        </w:rPr>
        <w:t>万元时止，以先达到者为准。</w:t>
      </w:r>
      <w:bookmarkStart w:id="7" w:name="OLE_LINK62"/>
      <w:bookmarkStart w:id="8" w:name="OLE_LINK66"/>
      <w:r>
        <w:rPr>
          <w:rFonts w:hint="eastAsia" w:ascii="楷体" w:hAnsi="楷体" w:eastAsia="楷体" w:cs="楷体"/>
          <w:bCs/>
          <w:szCs w:val="21"/>
          <w:highlight w:val="none"/>
        </w:rPr>
        <w:t>采购人在每期合同到期前3个月根据考核结果（详见膳食供应商月度考核表）决定是否续签下一期合同</w:t>
      </w:r>
      <w:r>
        <w:rPr>
          <w:rFonts w:ascii="楷体" w:hAnsi="楷体" w:eastAsia="楷体" w:cs="楷体"/>
          <w:bCs/>
          <w:szCs w:val="21"/>
          <w:highlight w:val="none"/>
        </w:rPr>
        <w:t>(第一期合同考核期为第1至9个账期，第二期合同考核期为第10-21个账期，</w:t>
      </w:r>
      <w:r>
        <w:rPr>
          <w:rFonts w:hint="eastAsia" w:ascii="楷体" w:hAnsi="楷体" w:eastAsia="楷体" w:cs="楷体"/>
          <w:bCs/>
          <w:szCs w:val="21"/>
          <w:highlight w:val="none"/>
        </w:rPr>
        <w:t>账期定义详见用户需求</w:t>
      </w:r>
      <w:r>
        <w:rPr>
          <w:rFonts w:hint="eastAsia" w:ascii="楷体" w:hAnsi="楷体" w:eastAsia="楷体" w:cs="楷体"/>
          <w:bCs/>
          <w:szCs w:val="21"/>
          <w:highlight w:val="none"/>
          <w:lang w:eastAsia="zh-CN"/>
        </w:rPr>
        <w:t>“★</w:t>
      </w:r>
      <w:r>
        <w:rPr>
          <w:rFonts w:hint="eastAsia" w:ascii="楷体" w:hAnsi="楷体" w:eastAsia="楷体" w:cs="楷体"/>
          <w:bCs/>
          <w:szCs w:val="21"/>
          <w:highlight w:val="none"/>
        </w:rPr>
        <w:t>三、定价及结算要求、投标人报价要求</w:t>
      </w:r>
      <w:r>
        <w:rPr>
          <w:rFonts w:hint="eastAsia" w:ascii="楷体" w:hAnsi="楷体" w:eastAsia="楷体" w:cs="楷体"/>
          <w:bCs/>
          <w:szCs w:val="21"/>
          <w:highlight w:val="none"/>
          <w:lang w:eastAsia="zh-CN"/>
        </w:rPr>
        <w:t>”</w:t>
      </w:r>
      <w:r>
        <w:rPr>
          <w:rFonts w:hint="eastAsia" w:ascii="楷体" w:hAnsi="楷体" w:eastAsia="楷体" w:cs="楷体"/>
          <w:bCs/>
          <w:szCs w:val="21"/>
          <w:highlight w:val="none"/>
        </w:rPr>
        <w:t>第</w:t>
      </w:r>
      <w:r>
        <w:rPr>
          <w:rFonts w:ascii="楷体" w:hAnsi="楷体" w:eastAsia="楷体" w:cs="楷体"/>
          <w:bCs/>
          <w:szCs w:val="21"/>
          <w:highlight w:val="none"/>
        </w:rPr>
        <w:t>5.1条</w:t>
      </w:r>
      <w:r>
        <w:rPr>
          <w:rFonts w:hint="eastAsia" w:ascii="楷体" w:hAnsi="楷体" w:eastAsia="楷体" w:cs="楷体"/>
          <w:bCs/>
          <w:szCs w:val="21"/>
          <w:highlight w:val="none"/>
        </w:rPr>
        <w:t>)。</w:t>
      </w:r>
      <w:bookmarkStart w:id="9" w:name="OLE_LINK47"/>
      <w:r>
        <w:rPr>
          <w:rFonts w:hint="eastAsia" w:ascii="楷体" w:hAnsi="楷体" w:eastAsia="楷体" w:cs="楷体"/>
          <w:bCs/>
          <w:szCs w:val="21"/>
          <w:highlight w:val="none"/>
        </w:rPr>
        <w:t>续签合同须同时满足以下要求：</w:t>
      </w:r>
    </w:p>
    <w:p w14:paraId="34C2D2CF">
      <w:pPr>
        <w:tabs>
          <w:tab w:val="left" w:pos="420"/>
        </w:tabs>
        <w:spacing w:line="360" w:lineRule="auto"/>
        <w:ind w:left="425"/>
        <w:jc w:val="left"/>
        <w:rPr>
          <w:rFonts w:ascii="楷体" w:hAnsi="楷体" w:eastAsia="楷体" w:cs="楷体"/>
          <w:bCs/>
          <w:szCs w:val="21"/>
          <w:highlight w:val="none"/>
        </w:rPr>
      </w:pPr>
      <w:r>
        <w:rPr>
          <w:rFonts w:ascii="楷体" w:hAnsi="楷体" w:eastAsia="楷体" w:cs="楷体"/>
          <w:bCs/>
          <w:szCs w:val="21"/>
          <w:highlight w:val="none"/>
        </w:rPr>
        <w:t>2.1</w:t>
      </w:r>
      <w:r>
        <w:rPr>
          <w:rFonts w:hint="eastAsia" w:ascii="楷体" w:hAnsi="楷体" w:eastAsia="楷体" w:cs="楷体"/>
          <w:bCs/>
          <w:szCs w:val="21"/>
          <w:highlight w:val="none"/>
        </w:rPr>
        <w:t>合同考核期内月度考核平均分≥</w:t>
      </w:r>
      <w:r>
        <w:rPr>
          <w:rFonts w:ascii="楷体" w:hAnsi="楷体" w:eastAsia="楷体" w:cs="楷体"/>
          <w:bCs/>
          <w:szCs w:val="21"/>
          <w:highlight w:val="none"/>
        </w:rPr>
        <w:t>85分</w:t>
      </w:r>
      <w:r>
        <w:rPr>
          <w:rFonts w:hint="eastAsia" w:ascii="楷体" w:hAnsi="楷体" w:eastAsia="楷体" w:cs="楷体"/>
          <w:bCs/>
          <w:szCs w:val="21"/>
          <w:highlight w:val="none"/>
        </w:rPr>
        <w:t>；</w:t>
      </w:r>
    </w:p>
    <w:p w14:paraId="311E236B">
      <w:pPr>
        <w:tabs>
          <w:tab w:val="left" w:pos="420"/>
        </w:tabs>
        <w:spacing w:line="360" w:lineRule="auto"/>
        <w:ind w:left="425"/>
        <w:jc w:val="left"/>
        <w:rPr>
          <w:rFonts w:ascii="楷体" w:hAnsi="楷体" w:eastAsia="楷体" w:cs="楷体"/>
          <w:bCs/>
          <w:szCs w:val="21"/>
          <w:highlight w:val="none"/>
        </w:rPr>
      </w:pPr>
      <w:r>
        <w:rPr>
          <w:rFonts w:ascii="楷体" w:hAnsi="楷体" w:eastAsia="楷体" w:cs="楷体"/>
          <w:bCs/>
          <w:szCs w:val="21"/>
          <w:highlight w:val="none"/>
        </w:rPr>
        <w:t xml:space="preserve">2.2 </w:t>
      </w:r>
      <w:r>
        <w:rPr>
          <w:rFonts w:hint="eastAsia" w:ascii="楷体" w:hAnsi="楷体" w:eastAsia="楷体" w:cs="楷体"/>
          <w:bCs/>
          <w:szCs w:val="21"/>
          <w:highlight w:val="none"/>
        </w:rPr>
        <w:t>合同考核期内月度考核评分</w:t>
      </w:r>
      <w:bookmarkStart w:id="10" w:name="OLE_LINK21"/>
      <w:r>
        <w:rPr>
          <w:rFonts w:ascii="楷体" w:hAnsi="楷体" w:eastAsia="楷体" w:cs="楷体"/>
          <w:bCs/>
          <w:szCs w:val="21"/>
          <w:highlight w:val="none"/>
        </w:rPr>
        <w:t>低于80分（含）</w:t>
      </w:r>
      <w:r>
        <w:rPr>
          <w:rFonts w:hint="eastAsia" w:ascii="楷体" w:hAnsi="楷体" w:eastAsia="楷体" w:cs="楷体"/>
          <w:bCs/>
          <w:szCs w:val="21"/>
          <w:highlight w:val="none"/>
        </w:rPr>
        <w:t>的次数</w:t>
      </w:r>
      <w:r>
        <w:rPr>
          <w:rFonts w:ascii="楷体" w:hAnsi="楷体" w:eastAsia="楷体" w:cs="楷体"/>
          <w:bCs/>
          <w:szCs w:val="21"/>
          <w:highlight w:val="none"/>
        </w:rPr>
        <w:t>累计</w:t>
      </w:r>
      <w:r>
        <w:rPr>
          <w:rFonts w:hint="eastAsia" w:ascii="楷体" w:hAnsi="楷体" w:eastAsia="楷体" w:cs="楷体"/>
          <w:bCs/>
          <w:szCs w:val="21"/>
          <w:highlight w:val="none"/>
        </w:rPr>
        <w:t>少于</w:t>
      </w:r>
      <w:r>
        <w:rPr>
          <w:rFonts w:ascii="楷体" w:hAnsi="楷体" w:eastAsia="楷体" w:cs="楷体"/>
          <w:bCs/>
          <w:szCs w:val="21"/>
          <w:highlight w:val="none"/>
        </w:rPr>
        <w:t>3次</w:t>
      </w:r>
      <w:bookmarkEnd w:id="10"/>
      <w:r>
        <w:rPr>
          <w:rFonts w:ascii="楷体" w:hAnsi="楷体" w:eastAsia="楷体" w:cs="楷体"/>
          <w:bCs/>
          <w:szCs w:val="21"/>
          <w:highlight w:val="none"/>
        </w:rPr>
        <w:t>；</w:t>
      </w:r>
    </w:p>
    <w:p w14:paraId="6C41A000">
      <w:pPr>
        <w:tabs>
          <w:tab w:val="left" w:pos="420"/>
        </w:tabs>
        <w:spacing w:line="360" w:lineRule="auto"/>
        <w:ind w:left="425"/>
        <w:jc w:val="left"/>
        <w:rPr>
          <w:rFonts w:ascii="楷体" w:hAnsi="楷体" w:eastAsia="楷体" w:cs="楷体"/>
          <w:bCs/>
          <w:szCs w:val="21"/>
          <w:highlight w:val="none"/>
        </w:rPr>
      </w:pPr>
      <w:r>
        <w:rPr>
          <w:rFonts w:ascii="楷体" w:hAnsi="楷体" w:eastAsia="楷体" w:cs="楷体"/>
          <w:bCs/>
          <w:szCs w:val="21"/>
          <w:highlight w:val="none"/>
        </w:rPr>
        <w:t>2.3</w:t>
      </w:r>
      <w:r>
        <w:rPr>
          <w:rFonts w:hint="eastAsia" w:ascii="楷体" w:hAnsi="楷体" w:eastAsia="楷体" w:cs="楷体"/>
          <w:bCs/>
          <w:szCs w:val="21"/>
          <w:highlight w:val="none"/>
        </w:rPr>
        <w:t>合同考核期内月度考核评分低于</w:t>
      </w:r>
      <w:r>
        <w:rPr>
          <w:rFonts w:ascii="楷体" w:hAnsi="楷体" w:eastAsia="楷体" w:cs="楷体"/>
          <w:bCs/>
          <w:szCs w:val="21"/>
          <w:highlight w:val="none"/>
        </w:rPr>
        <w:t xml:space="preserve">70分（含）的次数累计少于2次； </w:t>
      </w:r>
    </w:p>
    <w:p w14:paraId="2CA421ED">
      <w:pPr>
        <w:tabs>
          <w:tab w:val="left" w:pos="420"/>
        </w:tabs>
        <w:spacing w:line="360" w:lineRule="auto"/>
        <w:ind w:left="425"/>
        <w:jc w:val="left"/>
        <w:rPr>
          <w:rFonts w:ascii="楷体" w:hAnsi="楷体" w:eastAsia="楷体" w:cs="楷体"/>
          <w:bCs/>
          <w:szCs w:val="21"/>
          <w:highlight w:val="none"/>
        </w:rPr>
      </w:pPr>
      <w:r>
        <w:rPr>
          <w:rFonts w:ascii="楷体" w:hAnsi="楷体" w:eastAsia="楷体" w:cs="楷体"/>
          <w:bCs/>
          <w:szCs w:val="21"/>
          <w:highlight w:val="none"/>
        </w:rPr>
        <w:t xml:space="preserve">2.4 </w:t>
      </w:r>
      <w:r>
        <w:rPr>
          <w:rFonts w:hint="eastAsia" w:ascii="楷体" w:hAnsi="楷体" w:eastAsia="楷体" w:cs="楷体"/>
          <w:bCs/>
          <w:szCs w:val="21"/>
          <w:highlight w:val="none"/>
        </w:rPr>
        <w:t>合同考核期内月度考核评分低于</w:t>
      </w:r>
      <w:r>
        <w:rPr>
          <w:rFonts w:ascii="楷体" w:hAnsi="楷体" w:eastAsia="楷体" w:cs="楷体"/>
          <w:bCs/>
          <w:szCs w:val="21"/>
          <w:highlight w:val="none"/>
        </w:rPr>
        <w:t>60分（含）的次数累计少于1次。</w:t>
      </w:r>
    </w:p>
    <w:bookmarkEnd w:id="6"/>
    <w:bookmarkEnd w:id="7"/>
    <w:bookmarkEnd w:id="8"/>
    <w:bookmarkEnd w:id="9"/>
    <w:p w14:paraId="019D7CEF">
      <w:p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3.合同履行期限：自合同生效之日起至合同全部权利义务履行完毕之日止。</w:t>
      </w:r>
    </w:p>
    <w:p w14:paraId="11CE8510">
      <w:pPr>
        <w:shd w:val="clear" w:color="auto" w:fill="FFFFFF"/>
        <w:snapToGrid w:val="0"/>
        <w:spacing w:line="360" w:lineRule="auto"/>
        <w:ind w:left="420" w:hanging="420"/>
        <w:jc w:val="left"/>
        <w:rPr>
          <w:rFonts w:ascii="楷体" w:hAnsi="楷体" w:eastAsia="楷体" w:cs="仿宋"/>
          <w:bCs/>
          <w:szCs w:val="21"/>
          <w:highlight w:val="none"/>
        </w:rPr>
      </w:pPr>
      <w:r>
        <w:rPr>
          <w:rFonts w:ascii="楷体" w:hAnsi="楷体" w:eastAsia="楷体" w:cs="仿宋"/>
          <w:bCs/>
          <w:szCs w:val="21"/>
          <w:highlight w:val="none"/>
        </w:rPr>
        <w:t>4.</w:t>
      </w:r>
      <w:r>
        <w:rPr>
          <w:rFonts w:hint="eastAsia" w:ascii="楷体" w:hAnsi="楷体" w:eastAsia="楷体" w:cs="仿宋"/>
          <w:bCs/>
          <w:szCs w:val="21"/>
          <w:highlight w:val="none"/>
        </w:rPr>
        <w:t>收货地点：</w:t>
      </w:r>
    </w:p>
    <w:p w14:paraId="3AD37F0C">
      <w:pPr>
        <w:shd w:val="clear" w:color="auto" w:fill="FFFFFF"/>
        <w:snapToGrid w:val="0"/>
        <w:spacing w:line="360" w:lineRule="auto"/>
        <w:ind w:left="420"/>
        <w:jc w:val="left"/>
        <w:rPr>
          <w:rFonts w:ascii="楷体" w:hAnsi="楷体" w:eastAsia="楷体" w:cs="仿宋"/>
          <w:bCs/>
          <w:szCs w:val="21"/>
          <w:highlight w:val="none"/>
        </w:rPr>
      </w:pPr>
      <w:r>
        <w:rPr>
          <w:rFonts w:hint="eastAsia" w:ascii="楷体" w:hAnsi="楷体" w:eastAsia="楷体" w:cs="仿宋"/>
          <w:bCs/>
          <w:szCs w:val="21"/>
          <w:highlight w:val="none"/>
        </w:rPr>
        <w:t>收货地址1：广州市越秀区东风东路651号中山大学肿瘤防治中心越秀院区1号楼23楼职工餐厅；</w:t>
      </w:r>
    </w:p>
    <w:p w14:paraId="5EBDB23B">
      <w:pPr>
        <w:shd w:val="clear" w:color="auto" w:fill="FFFFFF"/>
        <w:snapToGrid w:val="0"/>
        <w:spacing w:line="360" w:lineRule="auto"/>
        <w:ind w:left="420"/>
        <w:jc w:val="left"/>
        <w:rPr>
          <w:rFonts w:ascii="楷体" w:hAnsi="楷体" w:eastAsia="楷体" w:cs="仿宋"/>
          <w:bCs/>
          <w:szCs w:val="21"/>
          <w:highlight w:val="none"/>
        </w:rPr>
      </w:pPr>
      <w:r>
        <w:rPr>
          <w:rFonts w:hint="eastAsia" w:ascii="楷体" w:hAnsi="楷体" w:eastAsia="楷体" w:cs="仿宋"/>
          <w:bCs/>
          <w:szCs w:val="21"/>
          <w:highlight w:val="none"/>
        </w:rPr>
        <w:t>收货地址2：广州市黄埔区中新广州知识城开阳五路1号中山大学肿瘤防治中心黄埔院区负一楼职工餐厅。</w:t>
      </w:r>
    </w:p>
    <w:p w14:paraId="2E6B72E0">
      <w:pPr>
        <w:shd w:val="clear" w:color="auto" w:fill="FFFFFF"/>
        <w:snapToGrid w:val="0"/>
        <w:spacing w:line="360" w:lineRule="auto"/>
        <w:ind w:left="420" w:hanging="420"/>
        <w:jc w:val="left"/>
        <w:rPr>
          <w:rFonts w:ascii="楷体" w:hAnsi="楷体" w:eastAsia="楷体" w:cs="仿宋"/>
          <w:bCs/>
          <w:szCs w:val="21"/>
          <w:highlight w:val="none"/>
        </w:rPr>
      </w:pPr>
      <w:r>
        <w:rPr>
          <w:rFonts w:hint="eastAsia" w:ascii="楷体" w:hAnsi="楷体" w:eastAsia="楷体" w:cs="仿宋"/>
          <w:bCs/>
          <w:szCs w:val="21"/>
          <w:highlight w:val="none"/>
        </w:rPr>
        <w:t>5.采购数量：拟配送清单中数量为预估值，</w:t>
      </w:r>
      <w:r>
        <w:rPr>
          <w:rFonts w:hint="eastAsia" w:ascii="楷体" w:hAnsi="楷体" w:eastAsia="楷体" w:cs="仿宋"/>
          <w:bCs/>
          <w:szCs w:val="21"/>
          <w:highlight w:val="green"/>
        </w:rPr>
        <w:t>用于计算投标总价</w:t>
      </w:r>
      <w:r>
        <w:rPr>
          <w:rFonts w:hint="eastAsia" w:ascii="楷体" w:hAnsi="楷体" w:eastAsia="楷体" w:cs="仿宋"/>
          <w:bCs/>
          <w:szCs w:val="21"/>
          <w:highlight w:val="none"/>
        </w:rPr>
        <w:t>，实际配送数量以采购人每次提供的订单为准。含越秀院区及黄埔院区的供应量。</w:t>
      </w:r>
    </w:p>
    <w:p w14:paraId="6B22D55D">
      <w:pPr>
        <w:shd w:val="clear" w:color="auto" w:fill="FFFFFF"/>
        <w:snapToGrid w:val="0"/>
        <w:spacing w:line="360" w:lineRule="auto"/>
        <w:ind w:left="420" w:hanging="420"/>
        <w:jc w:val="left"/>
        <w:rPr>
          <w:rFonts w:ascii="宋体" w:hAnsi="宋体"/>
          <w:color w:val="000000"/>
          <w:sz w:val="24"/>
          <w:highlight w:val="none"/>
        </w:rPr>
      </w:pPr>
      <w:r>
        <w:rPr>
          <w:rFonts w:ascii="宋体" w:hAnsi="宋体"/>
          <w:color w:val="000000"/>
          <w:sz w:val="24"/>
          <w:highlight w:val="none"/>
        </w:rPr>
        <w:t>6.</w:t>
      </w:r>
      <w:r>
        <w:rPr>
          <w:rFonts w:hint="eastAsia" w:ascii="楷体" w:hAnsi="楷体" w:eastAsia="楷体" w:cs="仿宋"/>
          <w:bCs/>
          <w:szCs w:val="21"/>
          <w:highlight w:val="none"/>
        </w:rPr>
        <w:t>送货频次：采购人为三甲公立医院，餐厅365日全年无休，每个院区每周送货2-3次，法定节假日（如春节、国庆等）应按采购人要求供货。</w:t>
      </w:r>
    </w:p>
    <w:p w14:paraId="32603065">
      <w:pPr>
        <w:numPr>
          <w:ilvl w:val="0"/>
          <w:numId w:val="1"/>
        </w:numPr>
        <w:spacing w:line="360" w:lineRule="auto"/>
        <w:outlineLvl w:val="0"/>
        <w:rPr>
          <w:rFonts w:ascii="楷体" w:hAnsi="楷体" w:eastAsia="楷体"/>
          <w:b/>
          <w:color w:val="000000"/>
          <w:sz w:val="28"/>
          <w:szCs w:val="28"/>
          <w:highlight w:val="none"/>
        </w:rPr>
      </w:pPr>
      <w:bookmarkStart w:id="11" w:name="_Toc1676"/>
      <w:r>
        <w:rPr>
          <w:rFonts w:hint="eastAsia" w:ascii="楷体" w:hAnsi="楷体" w:eastAsia="楷体"/>
          <w:b/>
          <w:color w:val="000000"/>
          <w:sz w:val="28"/>
          <w:szCs w:val="28"/>
          <w:highlight w:val="none"/>
        </w:rPr>
        <w:t>服务要求</w:t>
      </w:r>
      <w:bookmarkEnd w:id="11"/>
    </w:p>
    <w:p w14:paraId="2F2D63D7">
      <w:pPr>
        <w:numPr>
          <w:ilvl w:val="0"/>
          <w:numId w:val="2"/>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w:t>
      </w:r>
      <w:r>
        <w:rPr>
          <w:rFonts w:hint="eastAsia" w:ascii="楷体" w:hAnsi="楷体" w:eastAsia="楷体" w:cs="楷体"/>
          <w:bCs/>
          <w:szCs w:val="21"/>
          <w:highlight w:val="none"/>
        </w:rPr>
        <w:t>中标人必须服从采购人实施的《中山大学肿瘤防治中心膳食供应商月度考核表》（以下简称“考核表”）及相关评分准则</w:t>
      </w:r>
      <w:bookmarkStart w:id="12" w:name="OLE_LINK36"/>
      <w:bookmarkStart w:id="13" w:name="OLE_LINK35"/>
      <w:r>
        <w:rPr>
          <w:rFonts w:hint="eastAsia" w:ascii="楷体" w:hAnsi="楷体" w:eastAsia="楷体" w:cs="楷体"/>
          <w:bCs/>
          <w:szCs w:val="21"/>
          <w:highlight w:val="none"/>
        </w:rPr>
        <w:t>。合同期内考核表月度考核评分</w:t>
      </w:r>
      <w:bookmarkStart w:id="14" w:name="OLE_LINK26"/>
      <w:bookmarkStart w:id="15" w:name="OLE_LINK25"/>
      <w:r>
        <w:rPr>
          <w:rFonts w:hint="eastAsia" w:ascii="楷体" w:hAnsi="楷体" w:eastAsia="楷体" w:cs="楷体"/>
          <w:bCs/>
          <w:szCs w:val="21"/>
          <w:highlight w:val="none"/>
        </w:rPr>
        <w:t>累计</w:t>
      </w:r>
      <w:r>
        <w:rPr>
          <w:rFonts w:ascii="楷体" w:hAnsi="楷体" w:eastAsia="楷体" w:cs="楷体"/>
          <w:bCs/>
          <w:szCs w:val="21"/>
          <w:highlight w:val="none"/>
        </w:rPr>
        <w:t>3次及以上低于80分（含）</w:t>
      </w:r>
      <w:bookmarkEnd w:id="14"/>
      <w:bookmarkEnd w:id="15"/>
      <w:r>
        <w:rPr>
          <w:rFonts w:ascii="楷体" w:hAnsi="楷体" w:eastAsia="楷体" w:cs="楷体"/>
          <w:bCs/>
          <w:szCs w:val="21"/>
          <w:highlight w:val="none"/>
        </w:rPr>
        <w:t>或累计2次及以上</w:t>
      </w:r>
      <w:r>
        <w:rPr>
          <w:rFonts w:hint="eastAsia" w:ascii="楷体" w:hAnsi="楷体" w:eastAsia="楷体" w:cs="楷体"/>
          <w:bCs/>
          <w:szCs w:val="21"/>
          <w:highlight w:val="none"/>
        </w:rPr>
        <w:t>低于</w:t>
      </w:r>
      <w:r>
        <w:rPr>
          <w:rFonts w:ascii="楷体" w:hAnsi="楷体" w:eastAsia="楷体" w:cs="楷体"/>
          <w:bCs/>
          <w:szCs w:val="21"/>
          <w:highlight w:val="none"/>
        </w:rPr>
        <w:t>70分（含）或1次及以上</w:t>
      </w:r>
      <w:r>
        <w:rPr>
          <w:rFonts w:hint="eastAsia" w:ascii="楷体" w:hAnsi="楷体" w:eastAsia="楷体" w:cs="楷体"/>
          <w:bCs/>
          <w:szCs w:val="21"/>
          <w:highlight w:val="none"/>
        </w:rPr>
        <w:t>低于</w:t>
      </w:r>
      <w:r>
        <w:rPr>
          <w:rFonts w:ascii="楷体" w:hAnsi="楷体" w:eastAsia="楷体" w:cs="楷体"/>
          <w:bCs/>
          <w:szCs w:val="21"/>
          <w:highlight w:val="none"/>
        </w:rPr>
        <w:t>60分（含），采购人有权终止合同，所</w:t>
      </w:r>
      <w:bookmarkStart w:id="40" w:name="_GoBack"/>
      <w:bookmarkEnd w:id="40"/>
      <w:r>
        <w:rPr>
          <w:rFonts w:ascii="楷体" w:hAnsi="楷体" w:eastAsia="楷体" w:cs="楷体"/>
          <w:bCs/>
          <w:szCs w:val="21"/>
          <w:highlight w:val="none"/>
        </w:rPr>
        <w:t>发生的一切损失由中标人负责。</w:t>
      </w:r>
      <w:bookmarkEnd w:id="12"/>
      <w:bookmarkEnd w:id="13"/>
      <w:r>
        <w:rPr>
          <w:rFonts w:hint="eastAsia" w:ascii="楷体" w:hAnsi="楷体" w:eastAsia="楷体" w:cs="楷体"/>
          <w:bCs/>
          <w:szCs w:val="21"/>
          <w:highlight w:val="none"/>
        </w:rPr>
        <w:t>月度考核表低于</w:t>
      </w:r>
      <w:r>
        <w:rPr>
          <w:rFonts w:ascii="楷体" w:hAnsi="楷体" w:eastAsia="楷体" w:cs="楷体"/>
          <w:bCs/>
          <w:szCs w:val="21"/>
          <w:highlight w:val="none"/>
        </w:rPr>
        <w:t>60分扣减当月服务费的50%，采购人有权终止合同</w:t>
      </w:r>
      <w:r>
        <w:rPr>
          <w:rFonts w:hint="eastAsia" w:ascii="楷体" w:hAnsi="楷体" w:eastAsia="楷体" w:cs="楷体"/>
          <w:bCs/>
          <w:szCs w:val="21"/>
          <w:highlight w:val="none"/>
        </w:rPr>
        <w:t>。</w:t>
      </w:r>
    </w:p>
    <w:p w14:paraId="7B5BFE14">
      <w:pPr>
        <w:numPr>
          <w:ilvl w:val="0"/>
          <w:numId w:val="2"/>
        </w:numPr>
        <w:spacing w:line="360" w:lineRule="auto"/>
        <w:rPr>
          <w:rFonts w:ascii="楷体" w:hAnsi="楷体" w:eastAsia="楷体" w:cs="仿宋"/>
          <w:bCs/>
          <w:szCs w:val="21"/>
          <w:highlight w:val="yellow"/>
        </w:rPr>
      </w:pPr>
      <w:r>
        <w:rPr>
          <w:rFonts w:hint="eastAsia" w:ascii="楷体" w:hAnsi="楷体" w:eastAsia="楷体" w:cs="仿宋"/>
          <w:bCs/>
          <w:szCs w:val="21"/>
          <w:highlight w:val="yellow"/>
        </w:rPr>
        <w:t>拟采购产品详见拟配送清单</w:t>
      </w:r>
      <w:r>
        <w:rPr>
          <w:rFonts w:hint="eastAsia" w:ascii="楷体" w:hAnsi="楷体" w:eastAsia="楷体" w:cs="仿宋"/>
          <w:bCs/>
          <w:szCs w:val="21"/>
          <w:highlight w:val="yellow"/>
          <w:lang w:eastAsia="zh-CN"/>
        </w:rPr>
        <w:t>，</w:t>
      </w:r>
      <w:r>
        <w:rPr>
          <w:rFonts w:hint="eastAsia" w:ascii="楷体" w:hAnsi="楷体" w:eastAsia="楷体" w:cs="仿宋"/>
          <w:bCs/>
          <w:szCs w:val="21"/>
          <w:highlight w:val="yellow"/>
          <w:lang w:val="en-US" w:eastAsia="zh-CN"/>
        </w:rPr>
        <w:t>供货规格范围允许±5%。</w:t>
      </w:r>
    </w:p>
    <w:p w14:paraId="132F3057">
      <w:pPr>
        <w:numPr>
          <w:ilvl w:val="0"/>
          <w:numId w:val="2"/>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采购人提前</w:t>
      </w:r>
      <w:r>
        <w:rPr>
          <w:rFonts w:ascii="楷体" w:hAnsi="楷体" w:eastAsia="楷体" w:cs="仿宋"/>
          <w:bCs/>
          <w:szCs w:val="21"/>
          <w:highlight w:val="none"/>
        </w:rPr>
        <w:t xml:space="preserve"> 2天</w:t>
      </w:r>
      <w:r>
        <w:rPr>
          <w:rFonts w:hint="eastAsia" w:ascii="楷体" w:hAnsi="楷体" w:eastAsia="楷体" w:cs="仿宋"/>
          <w:bCs/>
          <w:szCs w:val="21"/>
          <w:highlight w:val="none"/>
        </w:rPr>
        <w:t>在</w:t>
      </w:r>
      <w:r>
        <w:rPr>
          <w:rFonts w:ascii="楷体" w:hAnsi="楷体" w:eastAsia="楷体" w:cs="仿宋"/>
          <w:bCs/>
          <w:szCs w:val="21"/>
          <w:highlight w:val="none"/>
        </w:rPr>
        <w:t>下午6点前</w:t>
      </w:r>
      <w:r>
        <w:rPr>
          <w:rFonts w:hint="eastAsia" w:ascii="楷体" w:hAnsi="楷体" w:eastAsia="楷体" w:cs="仿宋"/>
          <w:bCs/>
          <w:szCs w:val="21"/>
          <w:highlight w:val="none"/>
        </w:rPr>
        <w:t>可选择</w:t>
      </w:r>
      <w:r>
        <w:rPr>
          <w:rFonts w:ascii="楷体" w:hAnsi="楷体" w:eastAsia="楷体" w:cs="仿宋"/>
          <w:bCs/>
          <w:szCs w:val="21"/>
          <w:highlight w:val="none"/>
        </w:rPr>
        <w:t>以微信、邮件、书面、电话</w:t>
      </w:r>
      <w:r>
        <w:rPr>
          <w:rFonts w:hint="eastAsia" w:ascii="楷体" w:hAnsi="楷体" w:eastAsia="楷体" w:cs="仿宋"/>
          <w:bCs/>
          <w:szCs w:val="21"/>
          <w:highlight w:val="none"/>
        </w:rPr>
        <w:t>、膳食物资管理系统</w:t>
      </w:r>
      <w:r>
        <w:rPr>
          <w:rFonts w:ascii="楷体" w:hAnsi="楷体" w:eastAsia="楷体" w:cs="仿宋"/>
          <w:bCs/>
          <w:szCs w:val="21"/>
          <w:highlight w:val="none"/>
        </w:rPr>
        <w:t>等方式</w:t>
      </w:r>
      <w:r>
        <w:rPr>
          <w:rFonts w:hint="eastAsia" w:ascii="楷体" w:hAnsi="楷体" w:eastAsia="楷体" w:cs="仿宋"/>
          <w:bCs/>
          <w:szCs w:val="21"/>
          <w:highlight w:val="none"/>
        </w:rPr>
        <w:t>之一下订单</w:t>
      </w:r>
      <w:r>
        <w:rPr>
          <w:rFonts w:ascii="楷体" w:hAnsi="楷体" w:eastAsia="楷体" w:cs="仿宋"/>
          <w:bCs/>
          <w:szCs w:val="21"/>
          <w:highlight w:val="none"/>
        </w:rPr>
        <w:t>。订单内容包括：品种、品牌、规格、数量、送货时间、送货地点等。中标人按订单内容准确供货。在收到订单后2小时</w:t>
      </w:r>
      <w:r>
        <w:rPr>
          <w:rFonts w:hint="eastAsia" w:ascii="楷体" w:hAnsi="楷体" w:eastAsia="楷体" w:cs="仿宋"/>
          <w:bCs/>
          <w:szCs w:val="21"/>
          <w:highlight w:val="none"/>
        </w:rPr>
        <w:t>（不含）</w:t>
      </w:r>
      <w:r>
        <w:rPr>
          <w:rFonts w:ascii="楷体" w:hAnsi="楷体" w:eastAsia="楷体" w:cs="仿宋"/>
          <w:bCs/>
          <w:szCs w:val="21"/>
          <w:highlight w:val="none"/>
        </w:rPr>
        <w:t>内，如不作任何的沟通或反馈，该订货单视作被中标人完全接受</w:t>
      </w:r>
      <w:r>
        <w:rPr>
          <w:rFonts w:hint="eastAsia" w:ascii="楷体" w:hAnsi="楷体" w:eastAsia="楷体" w:cs="仿宋"/>
          <w:bCs/>
          <w:szCs w:val="21"/>
          <w:highlight w:val="none"/>
        </w:rPr>
        <w:t>（为方便中标人备货，采购人每周五前公布下周的菜单给中标人作参考）。</w:t>
      </w:r>
    </w:p>
    <w:p w14:paraId="145E42D0">
      <w:pPr>
        <w:numPr>
          <w:ilvl w:val="0"/>
          <w:numId w:val="2"/>
        </w:numPr>
        <w:shd w:val="clear" w:color="auto" w:fill="FFFFFF"/>
        <w:snapToGrid w:val="0"/>
        <w:spacing w:line="360" w:lineRule="auto"/>
        <w:jc w:val="left"/>
        <w:rPr>
          <w:rFonts w:ascii="楷体" w:hAnsi="楷体" w:eastAsia="楷体" w:cs="仿宋"/>
          <w:color w:val="000000"/>
          <w:szCs w:val="21"/>
          <w:highlight w:val="none"/>
        </w:rPr>
      </w:pPr>
      <w:bookmarkStart w:id="16" w:name="OLE_LINK24"/>
      <w:r>
        <w:rPr>
          <w:rFonts w:hint="eastAsia" w:ascii="仿宋" w:hAnsi="仿宋" w:eastAsia="仿宋" w:cs="仿宋"/>
          <w:bCs/>
          <w:szCs w:val="21"/>
          <w:highlight w:val="none"/>
        </w:rPr>
        <w:t>★</w:t>
      </w:r>
      <w:bookmarkEnd w:id="16"/>
      <w:r>
        <w:rPr>
          <w:rFonts w:hint="eastAsia" w:ascii="楷体" w:hAnsi="楷体" w:eastAsia="楷体" w:cs="仿宋"/>
          <w:color w:val="000000"/>
          <w:szCs w:val="21"/>
          <w:highlight w:val="none"/>
        </w:rPr>
        <w:t>中标人按采购人规定的配送时间（由采购人通知）将订单货物送达收货地点。</w:t>
      </w:r>
      <w:r>
        <w:rPr>
          <w:rFonts w:ascii="楷体" w:hAnsi="楷体" w:eastAsia="楷体" w:cs="仿宋"/>
          <w:color w:val="000000"/>
          <w:szCs w:val="21"/>
          <w:highlight w:val="none"/>
        </w:rPr>
        <w:t>若因</w:t>
      </w:r>
      <w:r>
        <w:rPr>
          <w:rFonts w:hint="eastAsia" w:ascii="楷体" w:hAnsi="楷体" w:eastAsia="楷体" w:cs="仿宋"/>
          <w:color w:val="000000"/>
          <w:szCs w:val="21"/>
          <w:highlight w:val="none"/>
        </w:rPr>
        <w:t>中标人无法按时送达（不可抗力因素除外）</w:t>
      </w:r>
      <w:r>
        <w:rPr>
          <w:rFonts w:hint="eastAsia" w:ascii="楷体" w:hAnsi="楷体" w:eastAsia="楷体" w:cs="宋体"/>
          <w:color w:val="000000"/>
          <w:szCs w:val="21"/>
          <w:highlight w:val="none"/>
        </w:rPr>
        <w:t>，按考核表扣分</w:t>
      </w:r>
      <w:r>
        <w:rPr>
          <w:rFonts w:hint="eastAsia" w:ascii="楷体" w:hAnsi="楷体" w:eastAsia="楷体" w:cs="仿宋"/>
          <w:color w:val="000000"/>
          <w:szCs w:val="21"/>
          <w:highlight w:val="none"/>
        </w:rPr>
        <w:t>，采购人有权自行采购（中标人需要实报实销发生的相关费用），所发生经济损失由中标人负责。</w:t>
      </w:r>
    </w:p>
    <w:p w14:paraId="7F35EACB">
      <w:pPr>
        <w:numPr>
          <w:ilvl w:val="0"/>
          <w:numId w:val="2"/>
        </w:numPr>
        <w:spacing w:line="360" w:lineRule="auto"/>
        <w:rPr>
          <w:rFonts w:ascii="楷体" w:hAnsi="楷体" w:eastAsia="楷体" w:cs="仿宋"/>
          <w:bCs/>
          <w:szCs w:val="21"/>
          <w:highlight w:val="none"/>
        </w:rPr>
      </w:pPr>
      <w:r>
        <w:rPr>
          <w:rFonts w:hint="eastAsia" w:ascii="楷体" w:hAnsi="楷体" w:eastAsia="楷体" w:cs="仿宋"/>
          <w:bCs/>
          <w:szCs w:val="21"/>
          <w:highlight w:val="none"/>
        </w:rPr>
        <w:t>对采购人临时的供货要求（每个院区每月原则上不超过8次），中标人需随订随送，并在4小时（不含）内送达收货地点。不符合采购人要求的产品，采购人拒收后，中标人须</w:t>
      </w:r>
      <w:r>
        <w:rPr>
          <w:rFonts w:ascii="楷体" w:hAnsi="楷体" w:eastAsia="楷体" w:cs="仿宋"/>
          <w:bCs/>
          <w:szCs w:val="21"/>
          <w:highlight w:val="none"/>
        </w:rPr>
        <w:t>2</w:t>
      </w:r>
      <w:r>
        <w:rPr>
          <w:rFonts w:hint="eastAsia" w:ascii="楷体" w:hAnsi="楷体" w:eastAsia="楷体" w:cs="仿宋"/>
          <w:bCs/>
          <w:szCs w:val="21"/>
          <w:highlight w:val="none"/>
        </w:rPr>
        <w:t>小时内（不含）重新补送。原则上不允许临时采购未定价的产品，如中标人未经采购人的膳食管理岗同意仍供货，采购人有权不支付该批次产品货款。</w:t>
      </w:r>
    </w:p>
    <w:p w14:paraId="527D67A7">
      <w:pPr>
        <w:numPr>
          <w:ilvl w:val="0"/>
          <w:numId w:val="2"/>
        </w:numPr>
        <w:shd w:val="clear" w:color="auto" w:fill="FFFFFF"/>
        <w:snapToGrid w:val="0"/>
        <w:spacing w:line="360" w:lineRule="auto"/>
        <w:jc w:val="left"/>
        <w:rPr>
          <w:rFonts w:ascii="楷体" w:hAnsi="楷体" w:eastAsia="楷体" w:cs="仿宋"/>
          <w:bCs/>
          <w:szCs w:val="21"/>
          <w:highlight w:val="none"/>
        </w:rPr>
      </w:pPr>
      <w:bookmarkStart w:id="17" w:name="OLE_LINK6"/>
      <w:r>
        <w:rPr>
          <w:rFonts w:hint="eastAsia" w:ascii="楷体" w:hAnsi="楷体" w:eastAsia="楷体" w:cs="仿宋"/>
          <w:bCs/>
          <w:szCs w:val="21"/>
          <w:highlight w:val="none"/>
        </w:rPr>
        <w:t>中标人须保障产品数量及质量，如发现产品短斤缺两，或品种、品牌（如有）、规格型号、价格、质量等未达到合同要求的，采购人拒收，并责令其在</w:t>
      </w:r>
      <w:r>
        <w:rPr>
          <w:rFonts w:ascii="楷体" w:hAnsi="楷体" w:eastAsia="楷体" w:cs="仿宋"/>
          <w:bCs/>
          <w:szCs w:val="21"/>
          <w:highlight w:val="none"/>
        </w:rPr>
        <w:t>2小时</w:t>
      </w:r>
      <w:r>
        <w:rPr>
          <w:rFonts w:hint="eastAsia" w:ascii="楷体" w:hAnsi="楷体" w:eastAsia="楷体" w:cs="仿宋"/>
          <w:bCs/>
          <w:szCs w:val="21"/>
          <w:highlight w:val="none"/>
        </w:rPr>
        <w:t>（不含）内重新送货，所发生费用由中标人负责。</w:t>
      </w:r>
    </w:p>
    <w:bookmarkEnd w:id="17"/>
    <w:p w14:paraId="2FFE5FE4">
      <w:pPr>
        <w:numPr>
          <w:ilvl w:val="0"/>
          <w:numId w:val="2"/>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中标人提供的产品若存在“假冒伪劣”或严重质量问题（如：变质、发霉、有异味、破损等现象），采购人将拒收，中标人必须在</w:t>
      </w:r>
      <w:r>
        <w:rPr>
          <w:rFonts w:ascii="楷体" w:hAnsi="楷体" w:eastAsia="楷体" w:cs="仿宋"/>
          <w:bCs/>
          <w:szCs w:val="21"/>
          <w:highlight w:val="none"/>
        </w:rPr>
        <w:t>2小时</w:t>
      </w:r>
      <w:r>
        <w:rPr>
          <w:rFonts w:hint="eastAsia" w:ascii="楷体" w:hAnsi="楷体" w:eastAsia="楷体" w:cs="仿宋"/>
          <w:bCs/>
          <w:szCs w:val="21"/>
          <w:highlight w:val="none"/>
        </w:rPr>
        <w:t>（不含）内重新送货。</w:t>
      </w:r>
    </w:p>
    <w:p w14:paraId="465D7C4B">
      <w:pPr>
        <w:numPr>
          <w:ilvl w:val="0"/>
          <w:numId w:val="2"/>
        </w:numPr>
        <w:spacing w:line="360" w:lineRule="auto"/>
        <w:rPr>
          <w:rFonts w:ascii="楷体" w:hAnsi="楷体" w:eastAsia="楷体" w:cs="仿宋"/>
          <w:bCs/>
          <w:szCs w:val="21"/>
          <w:highlight w:val="none"/>
        </w:rPr>
      </w:pPr>
      <w:r>
        <w:rPr>
          <w:rFonts w:hint="eastAsia" w:ascii="宋体" w:hAnsi="宋体" w:cs="仿宋"/>
          <w:bCs/>
          <w:color w:val="000000"/>
          <w:sz w:val="24"/>
          <w:highlight w:val="none"/>
        </w:rPr>
        <w:t>★</w:t>
      </w:r>
      <w:r>
        <w:rPr>
          <w:rFonts w:hint="eastAsia" w:ascii="楷体" w:hAnsi="楷体" w:eastAsia="楷体" w:cs="仿宋"/>
          <w:bCs/>
          <w:szCs w:val="21"/>
          <w:highlight w:val="none"/>
        </w:rPr>
        <w:t>中标人不得擅自变更投标产品的品种、品牌、包装、规格等，严格按采购人的要求供应，否则采购人拒收，由此所产生的费用由中标人负责。如因产品升级、停产、缺货无法供货等市场流通问题确实需要变更包装、规格</w:t>
      </w:r>
      <w:r>
        <w:rPr>
          <w:rFonts w:hint="eastAsia" w:ascii="楷体" w:hAnsi="楷体" w:eastAsia="楷体" w:cs="仿宋"/>
          <w:bCs/>
          <w:szCs w:val="21"/>
          <w:highlight w:val="none"/>
          <w:lang w:eastAsia="zh-CN"/>
        </w:rPr>
        <w:t>、</w:t>
      </w:r>
      <w:r>
        <w:rPr>
          <w:rFonts w:hint="eastAsia" w:ascii="楷体" w:hAnsi="楷体" w:eastAsia="楷体" w:cs="仿宋"/>
          <w:bCs/>
          <w:szCs w:val="21"/>
          <w:highlight w:val="none"/>
          <w:lang w:val="en-US" w:eastAsia="zh-CN"/>
        </w:rPr>
        <w:t>变更为升级/换代产品</w:t>
      </w:r>
      <w:r>
        <w:rPr>
          <w:rFonts w:hint="eastAsia" w:ascii="楷体" w:hAnsi="楷体" w:eastAsia="楷体" w:cs="仿宋"/>
          <w:bCs/>
          <w:szCs w:val="21"/>
          <w:highlight w:val="none"/>
        </w:rPr>
        <w:t>等，中标人应事先提出书面申请（须附厂家官方网站公布或厂家、经销商说明函等资料），并经采购人同意后才能变更，且供货单价为对应品种的中标单价，供货单价在合同期间不变</w:t>
      </w:r>
      <w:r>
        <w:rPr>
          <w:rFonts w:ascii="楷体" w:hAnsi="楷体" w:eastAsia="楷体" w:cs="仿宋"/>
          <w:bCs/>
          <w:szCs w:val="21"/>
          <w:highlight w:val="none"/>
        </w:rPr>
        <w:t>。</w:t>
      </w:r>
      <w:r>
        <w:rPr>
          <w:rFonts w:hint="eastAsia" w:ascii="楷体" w:hAnsi="楷体" w:eastAsia="楷体" w:cs="仿宋"/>
          <w:bCs/>
          <w:szCs w:val="21"/>
          <w:highlight w:val="none"/>
        </w:rPr>
        <w:t>变更产品应符合国家与行业标准，其质量、材质、规格、技术参数、食品安全标准、环保要求、使用性能和适用场景应保持或优于原投标产品及采购文件要求。</w:t>
      </w:r>
    </w:p>
    <w:p w14:paraId="6BF5C3CD">
      <w:pPr>
        <w:numPr>
          <w:ilvl w:val="0"/>
          <w:numId w:val="2"/>
        </w:numPr>
        <w:shd w:val="clear" w:color="auto" w:fill="FFFFFF"/>
        <w:snapToGrid w:val="0"/>
        <w:spacing w:line="360" w:lineRule="auto"/>
        <w:ind w:left="424" w:leftChars="1" w:hanging="422" w:hangingChars="201"/>
        <w:jc w:val="left"/>
        <w:rPr>
          <w:rFonts w:ascii="楷体" w:hAnsi="楷体" w:eastAsia="楷体" w:cs="仿宋"/>
          <w:bCs/>
          <w:szCs w:val="21"/>
          <w:highlight w:val="none"/>
        </w:rPr>
      </w:pPr>
      <w:r>
        <w:rPr>
          <w:rFonts w:hint="eastAsia" w:ascii="楷体" w:hAnsi="楷体" w:eastAsia="楷体" w:cs="仿宋"/>
          <w:bCs/>
          <w:szCs w:val="21"/>
          <w:highlight w:val="none"/>
        </w:rPr>
        <w:t>运输容器：要求清洁、干燥、牢固、透气、无污染、无异味等问题，每个品种单独盛装。</w:t>
      </w:r>
      <w:r>
        <w:rPr>
          <w:rFonts w:hint="eastAsia" w:ascii="楷体" w:hAnsi="楷体" w:eastAsia="楷体" w:cs="仿宋"/>
          <w:bCs/>
          <w:szCs w:val="21"/>
          <w:highlight w:val="none"/>
          <w:lang w:bidi="ar"/>
        </w:rPr>
        <w:t>根据产品的性质做好防湿、防锈、防潮、防雨、防腐及防碰撞的措施。不得使用泡沫箱、金属丝、生熟混装，必须按《中华人民共和国食品安全法》的相关规定执行。凡由于包装不良造成的损失和由此产生的费用均由中标人承担。</w:t>
      </w:r>
    </w:p>
    <w:p w14:paraId="4E6584F6">
      <w:pPr>
        <w:numPr>
          <w:ilvl w:val="0"/>
          <w:numId w:val="2"/>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运输载具：须符合《中华人民共和国食品安全法》的相关规定。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w:t>
      </w:r>
    </w:p>
    <w:p w14:paraId="27AAA404">
      <w:pPr>
        <w:numPr>
          <w:ilvl w:val="0"/>
          <w:numId w:val="2"/>
        </w:numPr>
        <w:spacing w:line="360" w:lineRule="auto"/>
        <w:rPr>
          <w:rFonts w:ascii="楷体" w:hAnsi="楷体" w:eastAsia="楷体" w:cs="仿宋"/>
          <w:bCs/>
          <w:szCs w:val="21"/>
          <w:highlight w:val="none"/>
        </w:rPr>
      </w:pPr>
      <w:r>
        <w:rPr>
          <w:rFonts w:hint="eastAsia" w:ascii="楷体" w:hAnsi="楷体" w:eastAsia="楷体" w:cs="仿宋"/>
          <w:bCs/>
          <w:szCs w:val="21"/>
          <w:highlight w:val="none"/>
        </w:rPr>
        <w:t>中标人应充分做好工作人员的培训、教育工作，严格遵守采购人的各项规定。中标人指派的配送人员，持有效的</w:t>
      </w:r>
      <w:r>
        <w:rPr>
          <w:rFonts w:hint="eastAsia" w:ascii="楷体" w:hAnsi="楷体" w:eastAsia="楷体" w:cs="仿宋"/>
          <w:bCs/>
          <w:szCs w:val="21"/>
          <w:highlight w:val="none"/>
          <w:lang w:val="en-US" w:eastAsia="zh-CN"/>
        </w:rPr>
        <w:t>食品从业人员</w:t>
      </w:r>
      <w:r>
        <w:rPr>
          <w:rFonts w:hint="eastAsia" w:ascii="楷体" w:hAnsi="楷体" w:eastAsia="楷体" w:cs="仿宋"/>
          <w:bCs/>
          <w:szCs w:val="21"/>
          <w:highlight w:val="none"/>
        </w:rPr>
        <w:t>健康证</w:t>
      </w:r>
      <w:r>
        <w:rPr>
          <w:rFonts w:hint="eastAsia" w:ascii="楷体" w:hAnsi="楷体" w:eastAsia="楷体" w:cs="仿宋"/>
          <w:bCs/>
          <w:szCs w:val="21"/>
          <w:highlight w:val="none"/>
          <w:lang w:val="en-US" w:eastAsia="zh-CN"/>
        </w:rPr>
        <w:t>明</w:t>
      </w:r>
      <w:r>
        <w:rPr>
          <w:rFonts w:hint="eastAsia" w:ascii="楷体" w:hAnsi="楷体" w:eastAsia="楷体" w:cs="仿宋"/>
          <w:bCs/>
          <w:szCs w:val="21"/>
          <w:highlight w:val="none"/>
        </w:rPr>
        <w:t>、穿着便于辨认的工衣和配戴胸卡。配送人员遵纪守法、品行良好，在采购人院内活动严格遵守医院各项规章制度，不得做出有损采购人形象和利益的事情。中标人工作人员应服务态度好，工作认真负责。如在工作中失误给采购人造成损失，中标人应承担责任并赔偿损失；赔偿金额可从当月</w:t>
      </w:r>
      <w:r>
        <w:rPr>
          <w:rFonts w:hint="eastAsia" w:ascii="楷体" w:hAnsi="楷体" w:eastAsia="楷体" w:cs="仿宋"/>
          <w:bCs/>
          <w:szCs w:val="21"/>
          <w:highlight w:val="none"/>
          <w:lang w:val="en-US" w:eastAsia="zh-CN"/>
        </w:rPr>
        <w:t>付</w:t>
      </w:r>
      <w:r>
        <w:rPr>
          <w:rFonts w:hint="eastAsia" w:ascii="楷体" w:hAnsi="楷体" w:eastAsia="楷体" w:cs="仿宋"/>
          <w:bCs/>
          <w:szCs w:val="21"/>
          <w:highlight w:val="none"/>
        </w:rPr>
        <w:t>款中扣减；</w:t>
      </w:r>
    </w:p>
    <w:p w14:paraId="665E64FB">
      <w:pPr>
        <w:numPr>
          <w:ilvl w:val="0"/>
          <w:numId w:val="2"/>
        </w:numPr>
        <w:spacing w:line="360" w:lineRule="auto"/>
        <w:rPr>
          <w:rFonts w:ascii="楷体" w:hAnsi="楷体" w:eastAsia="楷体" w:cs="仿宋"/>
          <w:bCs/>
          <w:szCs w:val="21"/>
          <w:highlight w:val="none"/>
        </w:rPr>
      </w:pPr>
      <w:r>
        <w:rPr>
          <w:rFonts w:hint="eastAsia" w:ascii="楷体" w:hAnsi="楷体" w:eastAsia="楷体" w:cs="仿宋"/>
          <w:bCs/>
          <w:szCs w:val="21"/>
          <w:highlight w:val="none"/>
        </w:rPr>
        <w:t>中标人应积极配合采购人相关业务，包括但不限于收到采购人通知后</w:t>
      </w:r>
      <w:r>
        <w:rPr>
          <w:rFonts w:ascii="楷体" w:hAnsi="楷体" w:eastAsia="楷体" w:cs="仿宋"/>
          <w:bCs/>
          <w:szCs w:val="21"/>
          <w:highlight w:val="none"/>
        </w:rPr>
        <w:t>3</w:t>
      </w:r>
      <w:r>
        <w:rPr>
          <w:rFonts w:hint="eastAsia" w:ascii="楷体" w:hAnsi="楷体" w:eastAsia="楷体" w:cs="仿宋"/>
          <w:bCs/>
          <w:szCs w:val="21"/>
          <w:highlight w:val="none"/>
        </w:rPr>
        <w:t>个工作日内提供报价单、询价价格确认表、送货单、盖章的考核表、</w:t>
      </w:r>
      <w:r>
        <w:rPr>
          <w:rFonts w:hint="eastAsia" w:ascii="楷体" w:hAnsi="楷体" w:eastAsia="楷体" w:cs="仿宋"/>
          <w:bCs/>
          <w:szCs w:val="21"/>
          <w:highlight w:val="none"/>
          <w:lang w:bidi="ar"/>
        </w:rPr>
        <w:t>询价价格确认表（采购人与中标人双方就采购清单外产品完成询价后，由中标人盖章确认供货单价的书面凭证）、</w:t>
      </w:r>
      <w:r>
        <w:rPr>
          <w:rFonts w:hint="eastAsia" w:ascii="楷体" w:hAnsi="楷体" w:eastAsia="楷体" w:cs="仿宋"/>
          <w:bCs/>
          <w:szCs w:val="21"/>
          <w:highlight w:val="none"/>
        </w:rPr>
        <w:t>发票等情况。</w:t>
      </w:r>
    </w:p>
    <w:p w14:paraId="4E54E82B">
      <w:pPr>
        <w:numPr>
          <w:ilvl w:val="0"/>
          <w:numId w:val="2"/>
        </w:numPr>
        <w:spacing w:line="360" w:lineRule="auto"/>
        <w:rPr>
          <w:rFonts w:ascii="楷体" w:hAnsi="楷体" w:eastAsia="楷体" w:cs="仿宋"/>
          <w:bCs/>
          <w:szCs w:val="21"/>
          <w:highlight w:val="none"/>
        </w:rPr>
      </w:pPr>
      <w:r>
        <w:rPr>
          <w:rFonts w:hint="eastAsia"/>
          <w:highlight w:val="none"/>
        </w:rPr>
        <w:t>★</w:t>
      </w:r>
      <w:r>
        <w:rPr>
          <w:rFonts w:hint="eastAsia" w:ascii="楷体" w:hAnsi="楷体" w:eastAsia="楷体" w:cs="仿宋"/>
          <w:bCs/>
          <w:szCs w:val="21"/>
          <w:highlight w:val="none"/>
        </w:rPr>
        <w:t>中标人向采购人提供的所有发票均真实、合法、有效的，如提供虚假发票须按虚假发票金额2倍向采购人支付违约金，赔偿采购人因此产生的全部损失，采购人有权立即终止合同，并追究中标人违约责任。</w:t>
      </w:r>
    </w:p>
    <w:p w14:paraId="2A5BA48C">
      <w:pPr>
        <w:numPr>
          <w:ilvl w:val="0"/>
          <w:numId w:val="2"/>
        </w:numPr>
        <w:spacing w:line="360" w:lineRule="auto"/>
        <w:rPr>
          <w:rFonts w:ascii="楷体" w:hAnsi="楷体" w:eastAsia="楷体" w:cs="仿宋"/>
          <w:bCs/>
          <w:szCs w:val="21"/>
          <w:highlight w:val="none"/>
        </w:rPr>
      </w:pPr>
      <w:r>
        <w:rPr>
          <w:rFonts w:hint="eastAsia" w:ascii="楷体" w:hAnsi="楷体" w:eastAsia="楷体" w:cs="仿宋"/>
          <w:bCs/>
          <w:szCs w:val="21"/>
          <w:highlight w:val="none"/>
        </w:rPr>
        <w:t>中标人管理人员或项目负责人能积极主动与采购人接洽，倾听采购人意见，追踪产品和服务质量，能根据采购人提出的建议调整服务实施方案，随时解决各类问题，每月随访</w:t>
      </w:r>
      <w:r>
        <w:rPr>
          <w:rFonts w:ascii="楷体" w:hAnsi="楷体" w:eastAsia="楷体" w:cs="仿宋"/>
          <w:bCs/>
          <w:szCs w:val="21"/>
          <w:highlight w:val="none"/>
        </w:rPr>
        <w:t>1次或以上（方式不限），并提供月度</w:t>
      </w:r>
      <w:r>
        <w:rPr>
          <w:rFonts w:hint="eastAsia" w:ascii="楷体" w:hAnsi="楷体" w:eastAsia="楷体" w:cs="仿宋"/>
          <w:bCs/>
          <w:szCs w:val="21"/>
          <w:highlight w:val="none"/>
        </w:rPr>
        <w:t>书面</w:t>
      </w:r>
      <w:r>
        <w:rPr>
          <w:rFonts w:ascii="楷体" w:hAnsi="楷体" w:eastAsia="楷体" w:cs="仿宋"/>
          <w:bCs/>
          <w:szCs w:val="21"/>
          <w:highlight w:val="none"/>
        </w:rPr>
        <w:t>随访记录表</w:t>
      </w:r>
      <w:r>
        <w:rPr>
          <w:rFonts w:hint="eastAsia" w:ascii="楷体" w:hAnsi="楷体" w:eastAsia="楷体" w:cs="仿宋"/>
          <w:bCs/>
          <w:szCs w:val="21"/>
          <w:highlight w:val="none"/>
        </w:rPr>
        <w:t>反馈给采购人</w:t>
      </w:r>
      <w:r>
        <w:rPr>
          <w:rFonts w:ascii="楷体" w:hAnsi="楷体" w:eastAsia="楷体" w:cs="仿宋"/>
          <w:bCs/>
          <w:szCs w:val="21"/>
          <w:highlight w:val="none"/>
        </w:rPr>
        <w:t>。</w:t>
      </w:r>
    </w:p>
    <w:p w14:paraId="18C44A0E">
      <w:pPr>
        <w:numPr>
          <w:ilvl w:val="0"/>
          <w:numId w:val="2"/>
        </w:numPr>
        <w:spacing w:line="360" w:lineRule="auto"/>
        <w:rPr>
          <w:rFonts w:ascii="宋体" w:hAnsi="宋体" w:cs="仿宋"/>
          <w:color w:val="000000"/>
          <w:sz w:val="24"/>
          <w:highlight w:val="none"/>
        </w:rPr>
      </w:pPr>
      <w:r>
        <w:rPr>
          <w:rFonts w:hint="eastAsia" w:ascii="楷体" w:hAnsi="楷体" w:eastAsia="楷体" w:cs="仿宋"/>
          <w:bCs/>
          <w:szCs w:val="21"/>
          <w:highlight w:val="none"/>
        </w:rPr>
        <w:t>供货过程中发生情况时，中标人管理层积极沟通及解决问题。出现货物质量问题时，中标人的项目管理人员在</w:t>
      </w:r>
      <w:r>
        <w:rPr>
          <w:rFonts w:ascii="楷体" w:hAnsi="楷体" w:eastAsia="楷体" w:cs="仿宋"/>
          <w:bCs/>
          <w:szCs w:val="21"/>
          <w:highlight w:val="none"/>
        </w:rPr>
        <w:t>4小时（含）内到达现场处理</w:t>
      </w:r>
      <w:r>
        <w:rPr>
          <w:rFonts w:ascii="宋体" w:hAnsi="宋体" w:cs="仿宋"/>
          <w:color w:val="000000"/>
          <w:sz w:val="24"/>
          <w:highlight w:val="none"/>
        </w:rPr>
        <w:t>。</w:t>
      </w:r>
    </w:p>
    <w:p w14:paraId="3D59C198">
      <w:pPr>
        <w:numPr>
          <w:ilvl w:val="0"/>
          <w:numId w:val="2"/>
        </w:numPr>
        <w:shd w:val="clear" w:color="auto" w:fill="FFFFFF"/>
        <w:snapToGrid w:val="0"/>
        <w:spacing w:line="360" w:lineRule="auto"/>
        <w:jc w:val="left"/>
        <w:rPr>
          <w:rFonts w:ascii="楷体" w:hAnsi="楷体" w:eastAsia="楷体" w:cs="仿宋"/>
          <w:bCs/>
          <w:szCs w:val="21"/>
          <w:highlight w:val="none"/>
        </w:rPr>
      </w:pPr>
      <w:bookmarkStart w:id="18" w:name="OLE_LINK72"/>
      <w:r>
        <w:rPr>
          <w:rFonts w:hint="eastAsia" w:ascii="仿宋" w:hAnsi="仿宋" w:eastAsia="仿宋" w:cs="仿宋"/>
          <w:bCs/>
          <w:szCs w:val="21"/>
          <w:highlight w:val="none"/>
        </w:rPr>
        <w:t>▲</w:t>
      </w:r>
      <w:bookmarkEnd w:id="18"/>
      <w:r>
        <w:rPr>
          <w:rFonts w:hint="eastAsia" w:ascii="楷体" w:hAnsi="楷体" w:eastAsia="楷体" w:cs="仿宋"/>
          <w:bCs/>
          <w:szCs w:val="21"/>
          <w:highlight w:val="none"/>
        </w:rPr>
        <w:t>中标人必须配合采购人突发事件（疫情防控、极端天气、大面积停电等）的应急配送工作。</w:t>
      </w:r>
    </w:p>
    <w:p w14:paraId="3764BB23">
      <w:pPr>
        <w:numPr>
          <w:ilvl w:val="0"/>
          <w:numId w:val="2"/>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由于产品原料质量问题而引起的中毒或肠道病等事故事件，经有关单位鉴定原因后，如确实为中标人产品问题，中标人承担所有的费用（包括但不限于医药费）以及相应的民事或刑事责任。中标人造成安全（监管和食品卫生）事故的，采购人有权单方面终止合同，由此产生的一切经济损失由中标人自行承担。</w:t>
      </w:r>
    </w:p>
    <w:p w14:paraId="2E6BFC2B">
      <w:pPr>
        <w:numPr>
          <w:ilvl w:val="0"/>
          <w:numId w:val="2"/>
        </w:numPr>
        <w:shd w:val="clear" w:color="auto" w:fill="FFFFFF"/>
        <w:snapToGrid w:val="0"/>
        <w:spacing w:line="360" w:lineRule="auto"/>
        <w:jc w:val="left"/>
        <w:rPr>
          <w:rFonts w:ascii="宋体" w:hAnsi="宋体" w:cs="仿宋"/>
          <w:color w:val="000000"/>
          <w:sz w:val="24"/>
          <w:highlight w:val="none"/>
        </w:rPr>
      </w:pPr>
      <w:r>
        <w:rPr>
          <w:rFonts w:hint="eastAsia" w:ascii="楷体" w:hAnsi="楷体" w:eastAsia="楷体" w:cs="仿宋"/>
          <w:bCs/>
          <w:szCs w:val="21"/>
          <w:highlight w:val="none"/>
        </w:rPr>
        <w:t>如中标人因不可抗力因素必须中途终止合约时，应及时函请同意解约，采购人同意解约时，结清全部款</w:t>
      </w:r>
      <w:r>
        <w:rPr>
          <w:rFonts w:hint="eastAsia" w:ascii="楷体" w:hAnsi="楷体" w:eastAsia="楷体" w:cs="仿宋"/>
          <w:bCs/>
          <w:szCs w:val="21"/>
          <w:highlight w:val="none"/>
          <w:lang w:val="en-US" w:eastAsia="zh-CN"/>
        </w:rPr>
        <w:t>项</w:t>
      </w:r>
      <w:r>
        <w:rPr>
          <w:rFonts w:hint="eastAsia" w:ascii="楷体" w:hAnsi="楷体" w:eastAsia="楷体" w:cs="仿宋"/>
          <w:bCs/>
          <w:szCs w:val="21"/>
          <w:highlight w:val="none"/>
        </w:rPr>
        <w:t>。除此因素之外中标人无故停止、中断、持续间断供货时，采购人将扣除所有未结款</w:t>
      </w:r>
      <w:r>
        <w:rPr>
          <w:rFonts w:hint="eastAsia" w:ascii="楷体" w:hAnsi="楷体" w:eastAsia="楷体" w:cs="仿宋"/>
          <w:bCs/>
          <w:szCs w:val="21"/>
          <w:highlight w:val="none"/>
          <w:lang w:val="en-US" w:eastAsia="zh-CN"/>
        </w:rPr>
        <w:t>项</w:t>
      </w:r>
      <w:r>
        <w:rPr>
          <w:rFonts w:hint="eastAsia" w:ascii="楷体" w:hAnsi="楷体" w:eastAsia="楷体" w:cs="仿宋"/>
          <w:bCs/>
          <w:szCs w:val="21"/>
          <w:highlight w:val="none"/>
        </w:rPr>
        <w:t>，中标人不得提出异议。如中标人确有因素需中途终止合约，应提前</w:t>
      </w:r>
      <w:r>
        <w:rPr>
          <w:rFonts w:ascii="楷体" w:hAnsi="楷体" w:eastAsia="楷体" w:cs="仿宋"/>
          <w:bCs/>
          <w:szCs w:val="21"/>
          <w:highlight w:val="none"/>
        </w:rPr>
        <w:t>4</w:t>
      </w:r>
      <w:r>
        <w:rPr>
          <w:rFonts w:hint="eastAsia" w:ascii="楷体" w:hAnsi="楷体" w:eastAsia="楷体" w:cs="仿宋"/>
          <w:bCs/>
          <w:szCs w:val="21"/>
          <w:highlight w:val="none"/>
        </w:rPr>
        <w:t>个月发函商请，采购人有权追究中标人违约责任。</w:t>
      </w:r>
    </w:p>
    <w:p w14:paraId="7FB5B7E9">
      <w:pPr>
        <w:numPr>
          <w:ilvl w:val="0"/>
          <w:numId w:val="2"/>
        </w:numPr>
        <w:shd w:val="clear" w:color="auto" w:fill="FFFFFF"/>
        <w:snapToGrid w:val="0"/>
        <w:spacing w:line="360" w:lineRule="auto"/>
        <w:jc w:val="left"/>
        <w:rPr>
          <w:rFonts w:ascii="楷体" w:hAnsi="楷体" w:eastAsia="楷体" w:cs="仿宋"/>
          <w:bCs/>
          <w:szCs w:val="21"/>
          <w:highlight w:val="none"/>
        </w:rPr>
      </w:pPr>
      <w:bookmarkStart w:id="19" w:name="OLE_LINK20"/>
      <w:r>
        <w:rPr>
          <w:rFonts w:hint="eastAsia" w:ascii="楷体" w:hAnsi="楷体" w:eastAsia="楷体" w:cs="仿宋"/>
          <w:bCs/>
          <w:szCs w:val="21"/>
          <w:highlight w:val="none"/>
        </w:rPr>
        <w:t>★</w:t>
      </w:r>
      <w:r>
        <w:rPr>
          <w:rFonts w:hint="eastAsia" w:ascii="楷体" w:hAnsi="楷体" w:eastAsia="楷体" w:cs="仿宋"/>
          <w:bCs/>
          <w:szCs w:val="21"/>
          <w:highlight w:val="none"/>
          <w:lang w:val="en-US" w:eastAsia="zh-CN"/>
        </w:rPr>
        <w:t>中标人</w:t>
      </w:r>
      <w:r>
        <w:rPr>
          <w:rFonts w:hint="eastAsia" w:ascii="楷体" w:hAnsi="楷体" w:eastAsia="楷体" w:cs="仿宋"/>
          <w:bCs/>
          <w:szCs w:val="21"/>
          <w:highlight w:val="none"/>
        </w:rPr>
        <w:t>不得将本合同项下的权利、义务进行转让；不得将本中标项目转包或分包，变相转包、分包、外包；不得挂靠、出借资质或允许他人挂靠。否则，</w:t>
      </w:r>
      <w:r>
        <w:rPr>
          <w:rFonts w:hint="eastAsia" w:ascii="楷体" w:hAnsi="楷体" w:eastAsia="楷体" w:cs="仿宋"/>
          <w:bCs/>
          <w:szCs w:val="21"/>
          <w:highlight w:val="none"/>
          <w:lang w:val="en-US" w:eastAsia="zh-CN"/>
        </w:rPr>
        <w:t>采购人</w:t>
      </w:r>
      <w:r>
        <w:rPr>
          <w:rFonts w:hint="eastAsia" w:ascii="楷体" w:hAnsi="楷体" w:eastAsia="楷体" w:cs="仿宋"/>
          <w:bCs/>
          <w:szCs w:val="21"/>
          <w:highlight w:val="none"/>
        </w:rPr>
        <w:t>有权没收履约保证金、拒付货款、立即解除合同并追究由此造成的一切损失与法律责任。</w:t>
      </w:r>
    </w:p>
    <w:bookmarkEnd w:id="19"/>
    <w:p w14:paraId="795D71FB">
      <w:pPr>
        <w:numPr>
          <w:ilvl w:val="0"/>
          <w:numId w:val="2"/>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投标人须制定完整详细的项目实施方案，包括但不限于以下内容：</w:t>
      </w:r>
    </w:p>
    <w:p w14:paraId="10EAB2A2">
      <w:pPr>
        <w:shd w:val="clear" w:color="auto" w:fill="FFFFFF"/>
        <w:snapToGrid w:val="0"/>
        <w:spacing w:line="360" w:lineRule="auto"/>
        <w:jc w:val="left"/>
        <w:rPr>
          <w:rFonts w:ascii="宋体" w:hAnsi="宋体" w:cs="仿宋"/>
          <w:color w:val="000000"/>
          <w:sz w:val="24"/>
          <w:highlight w:val="none"/>
        </w:rPr>
      </w:pPr>
      <w:r>
        <w:rPr>
          <w:rFonts w:hint="eastAsia" w:ascii="楷体" w:hAnsi="楷体" w:eastAsia="楷体" w:cs="仿宋"/>
          <w:bCs/>
          <w:szCs w:val="21"/>
          <w:highlight w:val="none"/>
        </w:rPr>
        <w:t>1）货物质量保障方案（含来源、加工、包装、保存等）</w:t>
      </w:r>
    </w:p>
    <w:p w14:paraId="16D39B7D">
      <w:pPr>
        <w:shd w:val="clear" w:color="auto" w:fill="FFFFFF"/>
        <w:snapToGrid w:val="0"/>
        <w:spacing w:line="360" w:lineRule="auto"/>
        <w:jc w:val="left"/>
        <w:rPr>
          <w:rFonts w:ascii="楷体" w:hAnsi="楷体" w:eastAsia="楷体" w:cs="仿宋"/>
          <w:bCs/>
          <w:szCs w:val="21"/>
          <w:highlight w:val="none"/>
        </w:rPr>
      </w:pPr>
      <w:r>
        <w:rPr>
          <w:rFonts w:ascii="楷体" w:hAnsi="楷体" w:eastAsia="楷体" w:cs="仿宋"/>
          <w:bCs/>
          <w:szCs w:val="21"/>
          <w:highlight w:val="none"/>
        </w:rPr>
        <w:t>2</w:t>
      </w:r>
      <w:r>
        <w:rPr>
          <w:rFonts w:hint="eastAsia" w:ascii="楷体" w:hAnsi="楷体" w:eastAsia="楷体" w:cs="仿宋"/>
          <w:bCs/>
          <w:szCs w:val="21"/>
          <w:highlight w:val="none"/>
        </w:rPr>
        <w:t>）货物储备及仓库管理方案</w:t>
      </w:r>
    </w:p>
    <w:p w14:paraId="4F00CB73">
      <w:p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3）配送方案（含拟投入配送人员、配送</w:t>
      </w:r>
      <w:r>
        <w:rPr>
          <w:rFonts w:hint="eastAsia" w:ascii="楷体" w:hAnsi="楷体" w:eastAsia="楷体" w:cs="仿宋"/>
          <w:bCs/>
          <w:szCs w:val="21"/>
          <w:highlight w:val="none"/>
          <w:lang w:val="en-US" w:eastAsia="zh-CN"/>
        </w:rPr>
        <w:t>方式</w:t>
      </w:r>
      <w:r>
        <w:rPr>
          <w:rFonts w:hint="eastAsia" w:ascii="楷体" w:hAnsi="楷体" w:eastAsia="楷体" w:cs="仿宋"/>
          <w:bCs/>
          <w:szCs w:val="21"/>
          <w:highlight w:val="none"/>
        </w:rPr>
        <w:t>、运输环节等）</w:t>
      </w:r>
    </w:p>
    <w:p w14:paraId="6C89C7BA">
      <w:p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4）人员培训方案</w:t>
      </w:r>
    </w:p>
    <w:p w14:paraId="7CC01950">
      <w:p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5）售后服务</w:t>
      </w:r>
    </w:p>
    <w:p w14:paraId="7097FDE2">
      <w:pPr>
        <w:pStyle w:val="45"/>
        <w:spacing w:before="0" w:beforeAutospacing="0" w:after="0" w:afterAutospacing="0" w:line="360" w:lineRule="auto"/>
        <w:rPr>
          <w:rFonts w:ascii="楷体" w:hAnsi="楷体" w:eastAsia="楷体" w:cs="仿宋"/>
          <w:bCs/>
          <w:color w:val="auto"/>
          <w:kern w:val="2"/>
          <w:sz w:val="21"/>
          <w:szCs w:val="21"/>
          <w:highlight w:val="none"/>
        </w:rPr>
      </w:pPr>
      <w:r>
        <w:rPr>
          <w:rFonts w:hint="eastAsia" w:ascii="楷体" w:hAnsi="楷体" w:eastAsia="楷体" w:cs="仿宋"/>
          <w:bCs/>
          <w:color w:val="auto"/>
          <w:kern w:val="2"/>
          <w:sz w:val="21"/>
          <w:szCs w:val="21"/>
          <w:highlight w:val="none"/>
        </w:rPr>
        <w:t>6）突发事件应急响应方案，如停水、停电、车辆故障、道路被淹等情况的应急措施</w:t>
      </w:r>
    </w:p>
    <w:p w14:paraId="11F3AFA1">
      <w:pPr>
        <w:pStyle w:val="45"/>
        <w:spacing w:before="0" w:beforeAutospacing="0" w:after="0" w:afterAutospacing="0" w:line="360" w:lineRule="auto"/>
        <w:rPr>
          <w:rFonts w:ascii="楷体" w:hAnsi="楷体" w:eastAsia="楷体" w:cs="仿宋"/>
          <w:bCs/>
          <w:color w:val="auto"/>
          <w:kern w:val="2"/>
          <w:sz w:val="21"/>
          <w:szCs w:val="21"/>
          <w:highlight w:val="none"/>
        </w:rPr>
      </w:pPr>
      <w:r>
        <w:rPr>
          <w:rFonts w:hint="eastAsia" w:ascii="楷体" w:hAnsi="楷体" w:eastAsia="楷体" w:cs="仿宋"/>
          <w:bCs/>
          <w:color w:val="auto"/>
          <w:kern w:val="2"/>
          <w:sz w:val="21"/>
          <w:szCs w:val="21"/>
          <w:highlight w:val="none"/>
        </w:rPr>
        <w:t>7）退换货方案</w:t>
      </w:r>
    </w:p>
    <w:p w14:paraId="4CA575F3">
      <w:pPr>
        <w:pStyle w:val="89"/>
        <w:rPr>
          <w:color w:val="000000"/>
          <w:highlight w:val="none"/>
        </w:rPr>
      </w:pPr>
    </w:p>
    <w:p w14:paraId="02AAC98B">
      <w:pPr>
        <w:numPr>
          <w:ilvl w:val="0"/>
          <w:numId w:val="1"/>
        </w:numPr>
        <w:spacing w:line="360" w:lineRule="auto"/>
        <w:outlineLvl w:val="0"/>
        <w:rPr>
          <w:rFonts w:ascii="楷体" w:hAnsi="楷体" w:eastAsia="楷体"/>
          <w:b/>
          <w:color w:val="000000"/>
          <w:sz w:val="28"/>
          <w:szCs w:val="28"/>
          <w:highlight w:val="none"/>
        </w:rPr>
      </w:pPr>
      <w:bookmarkStart w:id="20" w:name="_Toc172"/>
      <w:r>
        <w:rPr>
          <w:rFonts w:hint="eastAsia" w:ascii="楷体" w:hAnsi="楷体" w:eastAsia="楷体"/>
          <w:b/>
          <w:color w:val="000000"/>
          <w:sz w:val="28"/>
          <w:szCs w:val="28"/>
          <w:highlight w:val="none"/>
        </w:rPr>
        <w:t>★定价及结算要求</w:t>
      </w:r>
      <w:bookmarkEnd w:id="20"/>
      <w:r>
        <w:rPr>
          <w:rFonts w:hint="eastAsia" w:ascii="楷体" w:hAnsi="楷体" w:eastAsia="楷体"/>
          <w:b/>
          <w:color w:val="000000"/>
          <w:sz w:val="28"/>
          <w:szCs w:val="28"/>
          <w:highlight w:val="none"/>
        </w:rPr>
        <w:t>、投标人报价要求</w:t>
      </w:r>
    </w:p>
    <w:p w14:paraId="6D0279F0">
      <w:pPr>
        <w:numPr>
          <w:ilvl w:val="0"/>
          <w:numId w:val="3"/>
        </w:numPr>
        <w:spacing w:line="360" w:lineRule="auto"/>
        <w:rPr>
          <w:rFonts w:ascii="楷体" w:hAnsi="楷体" w:eastAsia="楷体" w:cs="仿宋"/>
          <w:bCs/>
          <w:szCs w:val="21"/>
          <w:highlight w:val="none"/>
        </w:rPr>
      </w:pPr>
      <w:r>
        <w:rPr>
          <w:rFonts w:hint="eastAsia" w:ascii="楷体" w:hAnsi="楷体" w:eastAsia="楷体" w:cs="仿宋"/>
          <w:bCs/>
          <w:szCs w:val="21"/>
          <w:highlight w:val="none"/>
        </w:rPr>
        <w:t>中标人价格包含产品的价格、运输费、加工费、检验检疫费、卸装费、售后服务、保险、搬运费、不合格货物的退换费用及税金等由供应货物而产生的一切应预见和不可预见费用。</w:t>
      </w:r>
    </w:p>
    <w:p w14:paraId="130CDEFC">
      <w:pPr>
        <w:numPr>
          <w:ilvl w:val="0"/>
          <w:numId w:val="3"/>
        </w:numPr>
        <w:spacing w:line="360" w:lineRule="auto"/>
        <w:rPr>
          <w:rFonts w:ascii="楷体" w:hAnsi="楷体" w:eastAsia="楷体" w:cs="仿宋"/>
          <w:bCs/>
          <w:szCs w:val="21"/>
          <w:highlight w:val="none"/>
        </w:rPr>
      </w:pPr>
      <w:r>
        <w:rPr>
          <w:rFonts w:hint="eastAsia" w:ascii="楷体" w:hAnsi="楷体" w:eastAsia="楷体" w:cs="仿宋"/>
          <w:bCs/>
          <w:szCs w:val="21"/>
          <w:highlight w:val="none"/>
        </w:rPr>
        <w:t>采购清单内品种定价原则：供货单价为对应品种的中标单价，供货单价在合同期间不变，除不可抗力因素外，其他因素导致的价格变动不得调整供货单价。采购清单内品种供货单价</w:t>
      </w:r>
      <w:r>
        <w:rPr>
          <w:rFonts w:ascii="楷体" w:hAnsi="楷体" w:eastAsia="楷体" w:cs="仿宋"/>
          <w:bCs/>
          <w:szCs w:val="21"/>
          <w:highlight w:val="none"/>
        </w:rPr>
        <w:t>=</w:t>
      </w:r>
      <w:r>
        <w:rPr>
          <w:rFonts w:hint="eastAsia" w:ascii="楷体" w:hAnsi="楷体" w:eastAsia="楷体" w:cs="仿宋"/>
          <w:bCs/>
          <w:szCs w:val="21"/>
          <w:highlight w:val="none"/>
        </w:rPr>
        <w:t>对应品种的中标单价。</w:t>
      </w:r>
    </w:p>
    <w:p w14:paraId="6FD3183A">
      <w:pPr>
        <w:numPr>
          <w:ilvl w:val="0"/>
          <w:numId w:val="3"/>
        </w:numPr>
        <w:shd w:val="clear"/>
        <w:snapToGrid/>
        <w:spacing w:line="360" w:lineRule="auto"/>
        <w:jc w:val="left"/>
        <w:rPr>
          <w:rFonts w:hint="eastAsia" w:ascii="楷体" w:hAnsi="楷体" w:eastAsia="楷体" w:cs="仿宋"/>
          <w:bCs/>
          <w:sz w:val="21"/>
          <w:szCs w:val="21"/>
          <w:highlight w:val="none"/>
        </w:rPr>
      </w:pPr>
      <w:r>
        <w:rPr>
          <w:rFonts w:hint="eastAsia" w:ascii="楷体" w:hAnsi="楷体" w:eastAsia="楷体" w:cs="仿宋"/>
          <w:bCs/>
          <w:szCs w:val="21"/>
          <w:highlight w:val="none"/>
        </w:rPr>
        <w:t>采购清单外品种定价原则：</w:t>
      </w:r>
    </w:p>
    <w:p w14:paraId="10554922">
      <w:pPr>
        <w:numPr>
          <w:ilvl w:val="-1"/>
          <w:numId w:val="0"/>
        </w:numPr>
        <w:spacing w:line="360" w:lineRule="auto"/>
        <w:ind w:left="0" w:firstLine="0"/>
        <w:rPr>
          <w:rFonts w:hint="eastAsia" w:ascii="楷体" w:hAnsi="楷体" w:eastAsia="楷体" w:cs="仿宋"/>
          <w:bCs/>
          <w:highlight w:val="none"/>
        </w:rPr>
      </w:pPr>
      <w:r>
        <w:rPr>
          <w:rFonts w:hint="eastAsia" w:ascii="楷体" w:hAnsi="楷体" w:eastAsia="楷体" w:cs="仿宋"/>
          <w:bCs/>
          <w:szCs w:val="21"/>
          <w:highlight w:val="none"/>
        </w:rPr>
        <w:t>3.1因采购人需求新增、采购清单内产品停产或规格变化(升级/换代产品不符合采购人需求）、市场流通情况等原因，允许在本项目采购清单外开展采购一次性饭盒类、杯碗类、包装类、其他耗材类产品</w:t>
      </w:r>
      <w:r>
        <w:rPr>
          <w:rFonts w:hint="eastAsia" w:ascii="楷体" w:hAnsi="楷体" w:eastAsia="楷体" w:cs="仿宋"/>
          <w:bCs/>
          <w:szCs w:val="21"/>
          <w:highlight w:val="none"/>
          <w:lang w:val="en-US" w:eastAsia="zh-CN"/>
        </w:rPr>
        <w:t>等餐饮耗材</w:t>
      </w:r>
      <w:r>
        <w:rPr>
          <w:rFonts w:hint="eastAsia" w:ascii="楷体" w:hAnsi="楷体" w:eastAsia="楷体" w:cs="仿宋"/>
          <w:bCs/>
          <w:szCs w:val="21"/>
          <w:highlight w:val="none"/>
        </w:rPr>
        <w:t>，但须按照采购人内部控制要求进行审批，采购清单外品种结算金额须≤合同金额的30%，清单内与清单外的结算金额合计不得超过合同金额；</w:t>
      </w:r>
    </w:p>
    <w:p w14:paraId="7FF104B1">
      <w:pPr>
        <w:numPr>
          <w:ilvl w:val="-1"/>
          <w:numId w:val="0"/>
        </w:numPr>
        <w:spacing w:line="360" w:lineRule="auto"/>
        <w:ind w:left="0" w:firstLine="0"/>
        <w:rPr>
          <w:rFonts w:hint="eastAsia" w:ascii="楷体" w:hAnsi="楷体" w:eastAsia="楷体" w:cs="仿宋"/>
          <w:bCs/>
          <w:highlight w:val="none"/>
          <w:lang w:val="en-US" w:eastAsia="zh-CN"/>
        </w:rPr>
      </w:pPr>
      <w:r>
        <w:rPr>
          <w:rFonts w:hint="eastAsia" w:ascii="楷体" w:hAnsi="楷体" w:eastAsia="楷体" w:cs="仿宋"/>
          <w:bCs/>
          <w:highlight w:val="none"/>
          <w:lang w:val="en-US" w:eastAsia="zh-CN"/>
        </w:rPr>
        <w:t>3.2 定价方式一（电子平台）：以投标折扣率进行报价。以京东、淘宝电子平台新增产品询价当日优惠前的价格（含税）作为结算基准价，如平台不同价格不同，或同平台但不同商家不同价格，同等质量情况下取低的价格作为结算基准价。原则上提供不少于3家店铺价格。供货单价=对应品种的结算基准价×电子平台价格中标折扣率。如当日该产品电子平台优惠后价格（促销价/满减/券满减/到手价等）低于优惠前价格下浮后的价格，则以当日优惠后价格为准（优惠后的价格不再下浮）。确定采购价格后，在合同期内均执行此采购价格。</w:t>
      </w:r>
    </w:p>
    <w:p w14:paraId="112DADD9">
      <w:pPr>
        <w:numPr>
          <w:ilvl w:val="-1"/>
          <w:numId w:val="0"/>
        </w:numPr>
        <w:spacing w:line="360" w:lineRule="auto"/>
        <w:ind w:left="0" w:firstLine="0"/>
      </w:pPr>
      <w:r>
        <w:rPr>
          <w:rFonts w:hint="eastAsia" w:ascii="楷体" w:hAnsi="楷体" w:eastAsia="楷体" w:cs="仿宋"/>
          <w:bCs/>
          <w:szCs w:val="21"/>
          <w:highlight w:val="none"/>
          <w:lang w:val="en-US" w:eastAsia="zh-CN"/>
        </w:rPr>
        <w:t>3.3 定价方式二（批发市场）：以投标折扣率进行报价。中标人与采购人以初次拟采购量进行批发市场询价（信基沙溪酒店用品博览城或双方认可的同类批发市场），取达到采购人质量要求的最低报价（含税）为结算基准价。原则上提供不少于3家店铺价格。供货单价=对应品种的结算基准价×批发市场价格中标折扣率。确定采购价格后，在合同期内均执行此采购价格。</w:t>
      </w:r>
    </w:p>
    <w:p w14:paraId="4532329A">
      <w:pPr>
        <w:numPr>
          <w:ilvl w:val="-1"/>
          <w:numId w:val="0"/>
        </w:numPr>
        <w:spacing w:line="360" w:lineRule="auto"/>
        <w:ind w:left="0" w:firstLine="0"/>
        <w:rPr>
          <w:rFonts w:hint="default" w:eastAsia="宋体"/>
          <w:lang w:val="en-US" w:eastAsia="zh-CN"/>
        </w:rPr>
      </w:pPr>
      <w:r>
        <w:rPr>
          <w:rFonts w:hint="eastAsia"/>
          <w:lang w:val="en-US" w:eastAsia="zh-CN"/>
        </w:rPr>
        <w:t>3.4 电子平台或批发市场定价方式的选择，由采购人全权决定。</w:t>
      </w:r>
    </w:p>
    <w:p w14:paraId="7217B3A1">
      <w:pPr>
        <w:numPr>
          <w:ilvl w:val="-1"/>
          <w:numId w:val="0"/>
        </w:numPr>
        <w:ind w:left="0" w:firstLine="0"/>
        <w:rPr>
          <w:rFonts w:ascii="楷体" w:hAnsi="楷体" w:eastAsia="楷体" w:cs="仿宋"/>
          <w:bCs/>
          <w:szCs w:val="21"/>
          <w:highlight w:val="none"/>
        </w:rPr>
      </w:pPr>
      <w:r>
        <w:rPr>
          <w:rFonts w:hint="eastAsia" w:ascii="楷体" w:hAnsi="楷体" w:eastAsia="楷体" w:cs="仿宋"/>
          <w:bCs/>
          <w:szCs w:val="21"/>
          <w:highlight w:val="none"/>
        </w:rPr>
        <w:t>4. 如因不可抗力，如疫情防控、自然灾害等原因无以上价格参考的，双方协商定价。</w:t>
      </w:r>
    </w:p>
    <w:p w14:paraId="12532273">
      <w:p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5.货款按月结算：</w:t>
      </w:r>
    </w:p>
    <w:p w14:paraId="1A5D4C1A">
      <w:pPr>
        <w:pStyle w:val="190"/>
        <w:adjustRightInd w:val="0"/>
        <w:snapToGrid w:val="0"/>
        <w:spacing w:line="360" w:lineRule="auto"/>
        <w:ind w:left="420" w:leftChars="200" w:firstLine="0" w:firstLineChars="0"/>
        <w:jc w:val="left"/>
        <w:textAlignment w:val="baseline"/>
        <w:rPr>
          <w:rFonts w:ascii="楷体" w:hAnsi="楷体" w:eastAsia="楷体" w:cs="仿宋"/>
          <w:bCs/>
          <w:szCs w:val="21"/>
          <w:highlight w:val="none"/>
        </w:rPr>
      </w:pPr>
      <w:r>
        <w:rPr>
          <w:rFonts w:hint="eastAsia" w:ascii="楷体" w:hAnsi="楷体" w:eastAsia="楷体" w:cs="仿宋"/>
          <w:bCs/>
          <w:szCs w:val="21"/>
          <w:highlight w:val="none"/>
        </w:rPr>
        <w:t>5.1</w:t>
      </w:r>
      <w:bookmarkStart w:id="21" w:name="OLE_LINK3"/>
      <w:r>
        <w:rPr>
          <w:rFonts w:hint="eastAsia" w:ascii="楷体" w:hAnsi="楷体" w:eastAsia="楷体" w:cs="仿宋"/>
          <w:bCs/>
          <w:szCs w:val="21"/>
          <w:highlight w:val="none"/>
        </w:rPr>
        <w:t>当月账期为上月26日至当月25日（例：4月26日至5月25日为5月份的当月账期），如账期日有调整，采购人会以书面、邮件、微信等方式之一通知中标人。</w:t>
      </w:r>
    </w:p>
    <w:bookmarkEnd w:id="21"/>
    <w:p w14:paraId="083D4F60">
      <w:pPr>
        <w:pStyle w:val="190"/>
        <w:adjustRightInd w:val="0"/>
        <w:snapToGrid w:val="0"/>
        <w:spacing w:line="360" w:lineRule="auto"/>
        <w:ind w:left="440" w:firstLine="0" w:firstLineChars="0"/>
        <w:jc w:val="left"/>
        <w:textAlignment w:val="baseline"/>
        <w:rPr>
          <w:rFonts w:ascii="楷体" w:hAnsi="楷体" w:eastAsia="楷体" w:cs="仿宋"/>
          <w:bCs/>
          <w:szCs w:val="21"/>
          <w:highlight w:val="none"/>
        </w:rPr>
      </w:pPr>
      <w:r>
        <w:rPr>
          <w:rFonts w:hint="eastAsia" w:ascii="楷体" w:hAnsi="楷体" w:eastAsia="楷体" w:cs="仿宋"/>
          <w:bCs/>
          <w:szCs w:val="21"/>
          <w:highlight w:val="none"/>
        </w:rPr>
        <w:t>5.2采购人与中标人按定价原则及相对应品种的实际验收量核对当月供货额，并按 “中山大学肿瘤防治中心膳食供应商月度考核表”的考核得分结果，双方核准当月的供货额。当月供货额=∑清单内、外对应品种的供货单价×该品种的实际供货量-月度考核表减扣金额及违约金。</w:t>
      </w:r>
    </w:p>
    <w:p w14:paraId="331AC5C1">
      <w:pPr>
        <w:pStyle w:val="190"/>
        <w:adjustRightInd w:val="0"/>
        <w:snapToGrid w:val="0"/>
        <w:spacing w:line="360" w:lineRule="auto"/>
        <w:ind w:left="420" w:leftChars="200" w:firstLine="0" w:firstLineChars="0"/>
        <w:jc w:val="left"/>
        <w:textAlignment w:val="baseline"/>
        <w:rPr>
          <w:rFonts w:ascii="楷体" w:hAnsi="楷体" w:eastAsia="楷体" w:cs="仿宋"/>
          <w:bCs/>
          <w:szCs w:val="21"/>
          <w:highlight w:val="none"/>
        </w:rPr>
      </w:pPr>
      <w:r>
        <w:rPr>
          <w:rFonts w:hint="eastAsia" w:ascii="楷体" w:hAnsi="楷体" w:eastAsia="楷体" w:cs="仿宋"/>
          <w:bCs/>
          <w:szCs w:val="21"/>
          <w:highlight w:val="none"/>
        </w:rPr>
        <w:t>5.3采购人自收到发票且项目满足合同支付条件的，10个工作日内将货款支付到中标人账户；对于不满足合同约定支付条件的，中标人须按采购人要求完善，直至满足支付条件，采购人在10个工作日内将货款支付到中标人账户。若采购人没有按时支付合同款项并且在收到中标人书面催款通知后20个工作日内仍未支付的，除因不可抗力的因素外，中标人有权就延迟付款部分按照每日</w:t>
      </w:r>
      <w:bookmarkStart w:id="22" w:name="OLE_LINK83"/>
      <w:bookmarkStart w:id="23" w:name="OLE_LINK75"/>
      <w:r>
        <w:rPr>
          <w:rFonts w:hint="eastAsia" w:ascii="仿宋" w:hAnsi="仿宋" w:eastAsia="仿宋" w:cs="仿宋"/>
          <w:bCs/>
          <w:szCs w:val="21"/>
          <w:highlight w:val="none"/>
          <w:lang w:bidi="ar"/>
        </w:rPr>
        <w:t>5‱</w:t>
      </w:r>
      <w:bookmarkEnd w:id="22"/>
      <w:bookmarkEnd w:id="23"/>
      <w:r>
        <w:rPr>
          <w:rFonts w:hint="eastAsia" w:ascii="楷体" w:hAnsi="楷体" w:eastAsia="楷体" w:cs="仿宋"/>
          <w:bCs/>
          <w:szCs w:val="21"/>
          <w:highlight w:val="none"/>
        </w:rPr>
        <w:t>的比例向采购人收取延期付款违约金，此违约金达到合同金额的5%时，中标人还可考虑终止合同。若采购人在收到中标人催款通知后约定时间内履约支付合同款项，中标人无权再向采购人追溯逾期付款的相关法律责任。</w:t>
      </w:r>
    </w:p>
    <w:p w14:paraId="25215994">
      <w:pPr>
        <w:spacing w:before="120" w:beforeLines="50" w:line="360" w:lineRule="auto"/>
        <w:rPr>
          <w:rFonts w:ascii="楷体" w:hAnsi="楷体" w:eastAsia="楷体" w:cs="仿宋"/>
          <w:bCs/>
          <w:szCs w:val="21"/>
          <w:highlight w:val="none"/>
          <w:lang w:bidi="ar"/>
        </w:rPr>
      </w:pPr>
      <w:bookmarkStart w:id="24" w:name="_Hlk229749382"/>
      <w:r>
        <w:rPr>
          <w:rFonts w:hint="eastAsia" w:ascii="楷体" w:hAnsi="楷体" w:eastAsia="楷体" w:cs="仿宋"/>
          <w:bCs/>
          <w:szCs w:val="21"/>
          <w:highlight w:val="none"/>
        </w:rPr>
        <w:t>6.</w:t>
      </w:r>
      <w:r>
        <w:rPr>
          <w:rFonts w:hint="eastAsia" w:ascii="楷体" w:hAnsi="楷体" w:eastAsia="楷体" w:cs="仿宋"/>
          <w:bCs/>
          <w:szCs w:val="21"/>
          <w:highlight w:val="none"/>
          <w:lang w:bidi="ar"/>
        </w:rPr>
        <w:t xml:space="preserve"> 中标人需配合使用采购人的膳食物资管理系统（采购、送货、考核、结算等），具体要求包括不但限于：</w:t>
      </w:r>
    </w:p>
    <w:p w14:paraId="0B763BCA">
      <w:pPr>
        <w:spacing w:before="120" w:beforeLines="50" w:line="360" w:lineRule="auto"/>
        <w:ind w:left="645"/>
        <w:rPr>
          <w:rFonts w:ascii="楷体" w:hAnsi="楷体" w:eastAsia="楷体" w:cs="仿宋"/>
          <w:bCs/>
          <w:szCs w:val="21"/>
          <w:highlight w:val="none"/>
          <w:lang w:bidi="ar"/>
        </w:rPr>
      </w:pPr>
      <w:r>
        <w:rPr>
          <w:rFonts w:hint="eastAsia" w:ascii="楷体" w:hAnsi="楷体" w:eastAsia="楷体" w:cs="仿宋"/>
          <w:bCs/>
          <w:szCs w:val="21"/>
          <w:highlight w:val="none"/>
          <w:lang w:bidi="ar"/>
        </w:rPr>
        <w:t>6.1中标人应按采购人要求的格式与时限，将合同约定供应的产品信息（包括但不限于品名、规格、单价等）完整录入该系统，由系统生成并管理各产品对应的二维码。</w:t>
      </w:r>
    </w:p>
    <w:p w14:paraId="51E070A0">
      <w:pPr>
        <w:spacing w:before="120" w:beforeLines="50" w:line="360" w:lineRule="auto"/>
        <w:ind w:left="645"/>
        <w:rPr>
          <w:rFonts w:ascii="楷体" w:hAnsi="楷体" w:eastAsia="楷体" w:cs="仿宋"/>
          <w:bCs/>
          <w:szCs w:val="21"/>
          <w:highlight w:val="none"/>
          <w:lang w:bidi="ar"/>
        </w:rPr>
      </w:pPr>
      <w:r>
        <w:rPr>
          <w:rFonts w:hint="eastAsia" w:ascii="楷体" w:hAnsi="楷体" w:eastAsia="楷体" w:cs="仿宋"/>
          <w:bCs/>
          <w:szCs w:val="21"/>
          <w:highlight w:val="none"/>
          <w:lang w:bidi="ar"/>
        </w:rPr>
        <w:t>6.2中标人须通过该系统接收采购订单。配送时，每件货物或其最小包装单元上均应牢固粘贴或附有该二维码标签。</w:t>
      </w:r>
    </w:p>
    <w:p w14:paraId="2A4D8577">
      <w:pPr>
        <w:spacing w:before="120" w:beforeLines="50" w:line="360" w:lineRule="auto"/>
        <w:ind w:left="645"/>
        <w:rPr>
          <w:rFonts w:ascii="楷体" w:hAnsi="楷体" w:eastAsia="楷体" w:cs="仿宋"/>
          <w:bCs/>
          <w:szCs w:val="21"/>
          <w:highlight w:val="none"/>
          <w:lang w:bidi="ar"/>
        </w:rPr>
      </w:pPr>
      <w:r>
        <w:rPr>
          <w:rFonts w:hint="eastAsia" w:ascii="楷体" w:hAnsi="楷体" w:eastAsia="楷体" w:cs="仿宋"/>
          <w:bCs/>
          <w:szCs w:val="21"/>
          <w:highlight w:val="none"/>
          <w:lang w:bidi="ar"/>
        </w:rPr>
        <w:t>6.3采购人将基于系统记录的配送质量、时效、合规性等数据，按月度形成考核评分，该评分将作为服务结算及合同续约的重要依据。</w:t>
      </w:r>
    </w:p>
    <w:p w14:paraId="7B05E9D0">
      <w:pPr>
        <w:spacing w:before="120" w:beforeLines="50" w:line="360" w:lineRule="auto"/>
        <w:ind w:left="645"/>
        <w:rPr>
          <w:rFonts w:ascii="楷体" w:hAnsi="楷体" w:eastAsia="楷体" w:cs="仿宋"/>
          <w:bCs/>
          <w:szCs w:val="21"/>
          <w:highlight w:val="none"/>
          <w:lang w:bidi="ar"/>
        </w:rPr>
      </w:pPr>
      <w:r>
        <w:rPr>
          <w:rFonts w:hint="eastAsia" w:ascii="楷体" w:hAnsi="楷体" w:eastAsia="楷体" w:cs="仿宋"/>
          <w:bCs/>
          <w:szCs w:val="21"/>
          <w:highlight w:val="none"/>
          <w:lang w:bidi="ar"/>
        </w:rPr>
        <w:t>6.4中标人应在每批次结算期内，通过系统上传符合国家法律法规及采购人要求的合规电子发票。采购人在系统中进行的发票核验与确认。</w:t>
      </w:r>
    </w:p>
    <w:p w14:paraId="2CE7CA9F">
      <w:pPr>
        <w:spacing w:before="120" w:beforeLines="50" w:line="360" w:lineRule="auto"/>
        <w:ind w:left="645"/>
        <w:rPr>
          <w:rFonts w:ascii="楷体" w:hAnsi="楷体" w:eastAsia="楷体" w:cs="仿宋"/>
          <w:bCs/>
          <w:szCs w:val="21"/>
          <w:highlight w:val="none"/>
          <w:lang w:bidi="ar"/>
        </w:rPr>
      </w:pPr>
      <w:r>
        <w:rPr>
          <w:rFonts w:hint="eastAsia" w:ascii="楷体" w:hAnsi="楷体" w:eastAsia="楷体" w:cs="仿宋"/>
          <w:bCs/>
          <w:szCs w:val="21"/>
          <w:highlight w:val="none"/>
          <w:lang w:bidi="ar"/>
        </w:rPr>
        <w:t>6.5在本</w:t>
      </w:r>
      <w:r>
        <w:rPr>
          <w:rFonts w:hint="eastAsia" w:ascii="楷体" w:hAnsi="楷体" w:eastAsia="楷体" w:cs="仿宋"/>
          <w:bCs/>
          <w:szCs w:val="21"/>
          <w:highlight w:val="none"/>
          <w:lang w:val="en-US" w:eastAsia="zh-CN" w:bidi="ar"/>
        </w:rPr>
        <w:t>项目</w:t>
      </w:r>
      <w:r>
        <w:rPr>
          <w:rFonts w:hint="eastAsia" w:ascii="楷体" w:hAnsi="楷体" w:eastAsia="楷体" w:cs="仿宋"/>
          <w:bCs/>
          <w:szCs w:val="21"/>
          <w:highlight w:val="none"/>
          <w:lang w:bidi="ar"/>
        </w:rPr>
        <w:t>合同履行期内，如该系统因采购人业务需要而进行功能升级或流程优化，中标人应予以配合，并按要求完成自身相关操作流程的适应性调整。因系统升级而产生的必要、合理的配合工作，不视为采购人对合同内容的单方变更，亦不构成中标人要求费用补偿或拒绝履行的理由。</w:t>
      </w:r>
    </w:p>
    <w:bookmarkEnd w:id="24"/>
    <w:p w14:paraId="732E28B0">
      <w:pPr>
        <w:spacing w:before="120" w:beforeLines="50" w:line="360" w:lineRule="auto"/>
        <w:rPr>
          <w:rFonts w:ascii="楷体" w:hAnsi="楷体" w:eastAsia="楷体" w:cs="仿宋"/>
          <w:bCs/>
          <w:szCs w:val="21"/>
          <w:highlight w:val="none"/>
          <w:lang w:bidi="ar"/>
        </w:rPr>
      </w:pPr>
    </w:p>
    <w:p w14:paraId="4CDBEEA9">
      <w:pPr>
        <w:numPr>
          <w:ilvl w:val="0"/>
          <w:numId w:val="1"/>
        </w:numPr>
        <w:spacing w:line="360" w:lineRule="auto"/>
        <w:outlineLvl w:val="0"/>
        <w:rPr>
          <w:rFonts w:ascii="楷体" w:hAnsi="楷体" w:eastAsia="楷体"/>
          <w:b/>
          <w:color w:val="000000"/>
          <w:sz w:val="28"/>
          <w:szCs w:val="28"/>
          <w:highlight w:val="none"/>
        </w:rPr>
      </w:pPr>
      <w:bookmarkStart w:id="25" w:name="_Toc31522"/>
      <w:bookmarkStart w:id="26" w:name="OLE_LINK15"/>
      <w:bookmarkStart w:id="27" w:name="OLE_LINK14"/>
      <w:r>
        <w:rPr>
          <w:rFonts w:hint="eastAsia" w:ascii="楷体" w:hAnsi="楷体" w:eastAsia="楷体"/>
          <w:b/>
          <w:color w:val="000000"/>
          <w:sz w:val="28"/>
          <w:szCs w:val="28"/>
          <w:highlight w:val="none"/>
        </w:rPr>
        <w:t>食品安全及产品质量要求</w:t>
      </w:r>
      <w:bookmarkEnd w:id="25"/>
    </w:p>
    <w:bookmarkEnd w:id="26"/>
    <w:bookmarkEnd w:id="27"/>
    <w:p w14:paraId="2C5F9F0A">
      <w:pPr>
        <w:shd w:val="clear" w:color="auto" w:fill="FFFFFF"/>
        <w:snapToGrid w:val="0"/>
        <w:spacing w:line="360" w:lineRule="auto"/>
        <w:ind w:left="420" w:hanging="420"/>
        <w:jc w:val="left"/>
        <w:rPr>
          <w:rFonts w:ascii="楷体" w:hAnsi="楷体" w:eastAsia="楷体" w:cs="仿宋"/>
          <w:bCs/>
          <w:szCs w:val="21"/>
          <w:highlight w:val="none"/>
        </w:rPr>
      </w:pPr>
      <w:r>
        <w:rPr>
          <w:rFonts w:ascii="宋体" w:hAnsi="宋体" w:cs="仿宋"/>
          <w:color w:val="000000"/>
          <w:sz w:val="24"/>
          <w:highlight w:val="none"/>
        </w:rPr>
        <w:t>1.</w:t>
      </w:r>
      <w:r>
        <w:rPr>
          <w:rFonts w:hint="eastAsia" w:ascii="宋体" w:hAnsi="宋体" w:cs="仿宋"/>
          <w:color w:val="000000"/>
          <w:sz w:val="24"/>
          <w:highlight w:val="none"/>
        </w:rPr>
        <w:t>★</w:t>
      </w:r>
      <w:r>
        <w:rPr>
          <w:rFonts w:hint="eastAsia" w:ascii="楷体" w:hAnsi="楷体" w:eastAsia="楷体" w:cs="仿宋"/>
          <w:bCs/>
          <w:szCs w:val="21"/>
          <w:highlight w:val="none"/>
        </w:rPr>
        <w:t>中标人所供应的所有货物指标要符合国家强制性标准要求。所投标的所有产品必须符合《中华人民共和国食品安全法》的相关规定，符合对应产品的国家、行业相关的质量要求，须保证提供的产品为合法生产、销售、渠道正规、全新（无损、无污、无皱）产品。</w:t>
      </w:r>
    </w:p>
    <w:p w14:paraId="6B650DB5">
      <w:pPr>
        <w:shd w:val="clear" w:color="auto" w:fill="FFFFFF"/>
        <w:snapToGrid w:val="0"/>
        <w:spacing w:line="360" w:lineRule="auto"/>
        <w:ind w:left="420" w:hanging="420"/>
        <w:jc w:val="left"/>
        <w:rPr>
          <w:rFonts w:ascii="楷体" w:hAnsi="楷体" w:eastAsia="楷体" w:cs="仿宋"/>
          <w:bCs/>
          <w:szCs w:val="21"/>
          <w:highlight w:val="none"/>
        </w:rPr>
      </w:pPr>
      <w:bookmarkStart w:id="28" w:name="OLE_LINK2"/>
      <w:r>
        <w:rPr>
          <w:rFonts w:hint="eastAsia" w:ascii="宋体" w:hAnsi="宋体" w:cs="仿宋"/>
          <w:color w:val="000000"/>
          <w:sz w:val="24"/>
          <w:highlight w:val="none"/>
        </w:rPr>
        <w:t>2.★</w:t>
      </w:r>
      <w:r>
        <w:rPr>
          <w:rFonts w:hint="eastAsia" w:ascii="楷体" w:hAnsi="楷体" w:eastAsia="楷体" w:cs="仿宋"/>
          <w:bCs/>
          <w:szCs w:val="21"/>
          <w:highlight w:val="none"/>
        </w:rPr>
        <w:t>产品执行标准：GB 4806.7</w:t>
      </w:r>
      <w:r>
        <w:rPr>
          <w:rFonts w:ascii="楷体" w:hAnsi="楷体" w:eastAsia="楷体" w:cs="仿宋"/>
          <w:bCs/>
          <w:szCs w:val="21"/>
          <w:highlight w:val="none"/>
        </w:rPr>
        <w:t>-</w:t>
      </w:r>
      <w:r>
        <w:rPr>
          <w:rFonts w:hint="eastAsia" w:ascii="楷体" w:hAnsi="楷体" w:eastAsia="楷体" w:cs="仿宋"/>
          <w:bCs/>
          <w:szCs w:val="21"/>
          <w:highlight w:val="none"/>
        </w:rPr>
        <w:t>2023《食品安全国家标准 食品接触用塑料材料及制品》、GB 4806.8-2022 《食品安全国家标准 食品接触用纸和纸板材料及制品》、GB 9685-2016《食品安全国家标准 食品接触材料及制品用添加剂使用标准》等强制性国家标准，执行标准如有更新，按最新版执行。投标人应保证所投产品严格遵循强制性国家标准的要求，对于不符合标准的产品，坚决不予供货，以保障采购人单位的食品安全及产品质量。（投标文件中提供针对以上内容的</w:t>
      </w:r>
      <w:r>
        <w:rPr>
          <w:rFonts w:hint="eastAsia" w:ascii="楷体" w:hAnsi="楷体" w:eastAsia="楷体" w:cs="仿宋"/>
          <w:bCs/>
          <w:szCs w:val="21"/>
          <w:highlight w:val="none"/>
          <w:lang w:val="en-US" w:eastAsia="zh-CN"/>
        </w:rPr>
        <w:t>盖章</w:t>
      </w:r>
      <w:r>
        <w:rPr>
          <w:rFonts w:hint="eastAsia" w:ascii="楷体" w:hAnsi="楷体" w:eastAsia="楷体" w:cs="仿宋"/>
          <w:bCs/>
          <w:szCs w:val="21"/>
          <w:highlight w:val="none"/>
        </w:rPr>
        <w:t>承诺函，格式自拟）</w:t>
      </w:r>
    </w:p>
    <w:p w14:paraId="1ECBD91C">
      <w:pPr>
        <w:shd w:val="clear" w:color="auto" w:fill="FFFFFF"/>
        <w:snapToGrid w:val="0"/>
        <w:spacing w:line="360" w:lineRule="auto"/>
        <w:ind w:left="420" w:hanging="420"/>
        <w:jc w:val="left"/>
        <w:rPr>
          <w:rFonts w:ascii="楷体" w:hAnsi="楷体" w:eastAsia="楷体" w:cs="仿宋"/>
          <w:bCs/>
          <w:szCs w:val="21"/>
          <w:highlight w:val="none"/>
        </w:rPr>
      </w:pPr>
      <w:r>
        <w:rPr>
          <w:rFonts w:hint="eastAsia" w:ascii="楷体" w:hAnsi="楷体" w:eastAsia="楷体" w:cs="仿宋"/>
          <w:bCs/>
          <w:szCs w:val="21"/>
          <w:highlight w:val="none"/>
        </w:rPr>
        <w:t>3.产品执行标准：GB/T 18006.1-2025</w:t>
      </w:r>
      <w:r>
        <w:rPr>
          <w:rFonts w:hint="eastAsia" w:ascii="楷体" w:hAnsi="楷体" w:eastAsia="楷体" w:cs="仿宋"/>
          <w:bCs/>
          <w:color w:val="EE0000"/>
          <w:szCs w:val="21"/>
          <w:highlight w:val="none"/>
        </w:rPr>
        <w:t>《塑</w:t>
      </w:r>
      <w:r>
        <w:rPr>
          <w:rFonts w:hint="eastAsia" w:ascii="楷体" w:hAnsi="楷体" w:eastAsia="楷体" w:cs="仿宋"/>
          <w:bCs/>
          <w:szCs w:val="21"/>
          <w:highlight w:val="none"/>
        </w:rPr>
        <w:t>料一次性餐饮具通用技术要求》、</w:t>
      </w:r>
      <w:r>
        <w:rPr>
          <w:rFonts w:hint="eastAsia" w:ascii="楷体" w:hAnsi="楷体" w:eastAsia="楷体" w:cs="仿宋"/>
          <w:bCs/>
          <w:color w:val="000000"/>
          <w:szCs w:val="21"/>
          <w:highlight w:val="none"/>
        </w:rPr>
        <w:t>GB/T 18006.3-2020《一次性可降解餐饮具通用技术要求》、</w:t>
      </w:r>
      <w:r>
        <w:rPr>
          <w:rFonts w:ascii="楷体" w:hAnsi="楷体" w:eastAsia="楷体" w:cs="仿宋"/>
          <w:bCs/>
          <w:szCs w:val="21"/>
          <w:highlight w:val="none"/>
        </w:rPr>
        <w:t>GB/T 36787-2018</w:t>
      </w:r>
      <w:r>
        <w:rPr>
          <w:rFonts w:hint="eastAsia" w:ascii="楷体" w:hAnsi="楷体" w:eastAsia="楷体" w:cs="仿宋"/>
          <w:bCs/>
          <w:szCs w:val="21"/>
          <w:highlight w:val="none"/>
        </w:rPr>
        <w:t>《纸浆模塑餐具》、</w:t>
      </w:r>
      <w:bookmarkStart w:id="29" w:name="OLE_LINK5"/>
      <w:r>
        <w:rPr>
          <w:rFonts w:hint="eastAsia" w:ascii="楷体" w:hAnsi="楷体" w:eastAsia="楷体" w:cs="仿宋"/>
          <w:bCs/>
          <w:szCs w:val="21"/>
          <w:highlight w:val="none"/>
        </w:rPr>
        <w:t>GB/T 27591-2025《纸餐盒》</w:t>
      </w:r>
      <w:bookmarkEnd w:id="29"/>
      <w:r>
        <w:rPr>
          <w:rFonts w:hint="eastAsia" w:ascii="楷体" w:hAnsi="楷体" w:eastAsia="楷体" w:cs="仿宋"/>
          <w:bCs/>
          <w:szCs w:val="21"/>
          <w:highlight w:val="none"/>
        </w:rPr>
        <w:t>、GB/T 27590-2022《纸杯》、QB/T 4049-2021《塑料饮水口杯》等推荐性国家标准及行业标准等，执行标准如有更新 ，按最新版执行。</w:t>
      </w:r>
    </w:p>
    <w:bookmarkEnd w:id="28"/>
    <w:p w14:paraId="0D54C07F">
      <w:pPr>
        <w:shd w:val="clear" w:color="auto" w:fill="FFFFFF"/>
        <w:snapToGrid w:val="0"/>
        <w:spacing w:line="360" w:lineRule="auto"/>
        <w:ind w:left="420" w:hanging="420"/>
        <w:jc w:val="left"/>
        <w:rPr>
          <w:rFonts w:ascii="楷体" w:hAnsi="楷体" w:eastAsia="楷体" w:cs="仿宋"/>
          <w:bCs/>
          <w:szCs w:val="21"/>
          <w:highlight w:val="none"/>
        </w:rPr>
      </w:pPr>
      <w:r>
        <w:rPr>
          <w:rFonts w:hint="eastAsia" w:ascii="楷体" w:hAnsi="楷体" w:eastAsia="楷体" w:cs="仿宋"/>
          <w:bCs/>
          <w:szCs w:val="21"/>
          <w:highlight w:val="none"/>
        </w:rPr>
        <w:t>4.保质期内非因采购人的人为原因而出现产品质量问题，由中标人负责包换或包退，并承担因此而产生的一切费用。</w:t>
      </w:r>
    </w:p>
    <w:p w14:paraId="076979E5">
      <w:pPr>
        <w:shd w:val="clear" w:color="auto" w:fill="FFFFFF"/>
        <w:snapToGrid w:val="0"/>
        <w:spacing w:line="360" w:lineRule="auto"/>
        <w:ind w:left="420" w:hanging="420"/>
        <w:jc w:val="left"/>
        <w:rPr>
          <w:rFonts w:ascii="楷体" w:hAnsi="楷体" w:eastAsia="楷体" w:cs="仿宋"/>
          <w:bCs/>
          <w:szCs w:val="21"/>
          <w:highlight w:val="none"/>
        </w:rPr>
      </w:pPr>
      <w:r>
        <w:rPr>
          <w:rFonts w:hint="eastAsia" w:ascii="楷体" w:hAnsi="楷体" w:eastAsia="楷体" w:cs="仿宋"/>
          <w:bCs/>
          <w:szCs w:val="21"/>
          <w:highlight w:val="none"/>
        </w:rPr>
        <w:t>5.</w:t>
      </w:r>
      <w:r>
        <w:rPr>
          <w:rFonts w:hint="eastAsia" w:ascii="仿宋" w:hAnsi="仿宋" w:eastAsia="仿宋" w:cs="仿宋"/>
          <w:bCs/>
          <w:szCs w:val="21"/>
          <w:highlight w:val="none"/>
        </w:rPr>
        <w:t>▲</w:t>
      </w:r>
      <w:r>
        <w:rPr>
          <w:rFonts w:hint="eastAsia" w:ascii="楷体" w:hAnsi="楷体" w:eastAsia="楷体" w:cs="仿宋"/>
          <w:bCs/>
          <w:szCs w:val="21"/>
          <w:highlight w:val="none"/>
        </w:rPr>
        <w:t>中标人负责供应产品的质量检测工作，所产生的费用由中标人负责。采购人有权不定期委托有资质的质检部门对中标人供应的产品进行检测。如检测结果不达标的，费用由中标人负责，并在中标人无法提供合理解析的情况下，扣除</w:t>
      </w:r>
      <w:r>
        <w:rPr>
          <w:rFonts w:hint="eastAsia" w:ascii="楷体" w:hAnsi="楷体" w:eastAsia="楷体" w:cs="仿宋"/>
          <w:bCs/>
          <w:szCs w:val="21"/>
          <w:highlight w:val="none"/>
          <w:lang w:val="en-US" w:eastAsia="zh-CN"/>
        </w:rPr>
        <w:t>供货</w:t>
      </w:r>
      <w:r>
        <w:rPr>
          <w:rFonts w:hint="eastAsia" w:ascii="楷体" w:hAnsi="楷体" w:eastAsia="楷体" w:cs="仿宋"/>
          <w:bCs/>
          <w:szCs w:val="21"/>
          <w:highlight w:val="none"/>
        </w:rPr>
        <w:t>当天的供货款作为罚金。同时，采购人有权追讨由此而引起的责任。合同期内累计检测不合格两次的，采购人有权终止合同，由此引发的所有损失由中标人负责。</w:t>
      </w:r>
    </w:p>
    <w:p w14:paraId="7475EAAE">
      <w:pPr>
        <w:shd w:val="clear" w:color="auto" w:fill="FFFFFF"/>
        <w:snapToGrid w:val="0"/>
        <w:spacing w:line="360" w:lineRule="auto"/>
        <w:ind w:left="420" w:hanging="420"/>
        <w:jc w:val="left"/>
        <w:rPr>
          <w:rFonts w:ascii="楷体" w:hAnsi="楷体" w:eastAsia="楷体" w:cs="仿宋"/>
          <w:bCs/>
          <w:szCs w:val="21"/>
          <w:highlight w:val="none"/>
        </w:rPr>
      </w:pPr>
      <w:r>
        <w:rPr>
          <w:rFonts w:hint="eastAsia" w:ascii="楷体" w:hAnsi="楷体" w:eastAsia="楷体" w:cs="仿宋"/>
          <w:bCs/>
          <w:szCs w:val="21"/>
          <w:highlight w:val="none"/>
        </w:rPr>
        <w:t>6.因产品的质量问题而发生争议，由广东省或广州市质检部门进行质量鉴定。货物符合质量标准的，鉴定费用由采购人承担；货物不符合质量标准的，鉴定费用由中标人承担</w:t>
      </w:r>
    </w:p>
    <w:p w14:paraId="6AB900A8">
      <w:pPr>
        <w:shd w:val="clear" w:color="auto" w:fill="FFFFFF"/>
        <w:snapToGrid w:val="0"/>
        <w:spacing w:line="360" w:lineRule="auto"/>
        <w:ind w:left="420" w:hanging="420"/>
        <w:jc w:val="left"/>
        <w:rPr>
          <w:rFonts w:ascii="楷体" w:hAnsi="楷体" w:eastAsia="楷体" w:cs="仿宋"/>
          <w:bCs/>
          <w:szCs w:val="21"/>
          <w:highlight w:val="none"/>
        </w:rPr>
      </w:pPr>
      <w:r>
        <w:rPr>
          <w:rFonts w:hint="eastAsia" w:ascii="楷体" w:hAnsi="楷体" w:eastAsia="楷体" w:cs="仿宋"/>
          <w:bCs/>
          <w:szCs w:val="21"/>
          <w:highlight w:val="none"/>
        </w:rPr>
        <w:t>7.</w:t>
      </w:r>
      <w:r>
        <w:rPr>
          <w:rFonts w:hint="eastAsia" w:ascii="仿宋" w:hAnsi="仿宋" w:eastAsia="仿宋" w:cs="仿宋"/>
          <w:bCs/>
          <w:szCs w:val="21"/>
          <w:highlight w:val="none"/>
        </w:rPr>
        <w:t>▲</w:t>
      </w:r>
      <w:r>
        <w:rPr>
          <w:rFonts w:hint="eastAsia" w:ascii="楷体" w:hAnsi="楷体" w:eastAsia="楷体" w:cs="仿宋"/>
          <w:bCs/>
          <w:szCs w:val="21"/>
          <w:highlight w:val="none"/>
        </w:rPr>
        <w:t>有效期：中标人应保证所供产品其剩余有效期不得少于标注有效期的70%（自采购人验收之日起计算）。如有效期少于标注有效期的70%，采购人要求中标人配合相应产品的更换工作，所产生的费用由中标人负责。</w:t>
      </w:r>
    </w:p>
    <w:p w14:paraId="565B1927">
      <w:pPr>
        <w:shd w:val="clear" w:color="auto" w:fill="FFFFFF"/>
        <w:snapToGrid w:val="0"/>
        <w:spacing w:line="360" w:lineRule="auto"/>
        <w:ind w:left="420" w:hanging="420"/>
        <w:jc w:val="left"/>
        <w:rPr>
          <w:rFonts w:ascii="楷体" w:hAnsi="楷体" w:eastAsia="楷体" w:cs="仿宋"/>
          <w:bCs/>
          <w:szCs w:val="21"/>
          <w:highlight w:val="none"/>
        </w:rPr>
      </w:pPr>
      <w:r>
        <w:rPr>
          <w:rFonts w:hint="eastAsia" w:ascii="楷体" w:hAnsi="楷体" w:eastAsia="楷体" w:cs="仿宋"/>
          <w:bCs/>
          <w:szCs w:val="21"/>
          <w:highlight w:val="none"/>
        </w:rPr>
        <w:t>8.包装产品应由正规厂家生产，符合相关法律法规及行业规定，包装严实不漏，印有厂家、委托加工商（如有）、生产日期、保质期（有效期）等信息。</w:t>
      </w:r>
    </w:p>
    <w:p w14:paraId="7FE0CB20">
      <w:pPr>
        <w:shd w:val="clear" w:color="auto" w:fill="FFFFFF"/>
        <w:snapToGrid w:val="0"/>
        <w:spacing w:line="360" w:lineRule="auto"/>
        <w:ind w:left="420" w:hanging="420"/>
        <w:jc w:val="left"/>
        <w:rPr>
          <w:rFonts w:ascii="楷体" w:hAnsi="楷体" w:eastAsia="楷体" w:cs="仿宋"/>
          <w:bCs/>
          <w:szCs w:val="21"/>
          <w:highlight w:val="none"/>
        </w:rPr>
      </w:pPr>
      <w:r>
        <w:rPr>
          <w:rFonts w:hint="eastAsia" w:ascii="楷体" w:hAnsi="楷体" w:eastAsia="楷体" w:cs="仿宋"/>
          <w:bCs/>
          <w:szCs w:val="21"/>
          <w:highlight w:val="none"/>
        </w:rPr>
        <w:t>9.★中标人提供的产品来源清晰，可追溯，中标人送货时，同时提供产品质量合格材料：当批次产品检验合格证明（第三方检测报告或生产厂家检验合格证明）。</w:t>
      </w:r>
    </w:p>
    <w:p w14:paraId="6DDD8248">
      <w:pPr>
        <w:shd w:val="clear" w:color="auto" w:fill="FFFFFF"/>
        <w:snapToGrid w:val="0"/>
        <w:spacing w:line="360" w:lineRule="auto"/>
        <w:ind w:left="420" w:hanging="420"/>
        <w:jc w:val="left"/>
        <w:rPr>
          <w:rFonts w:ascii="楷体" w:hAnsi="楷体" w:eastAsia="楷体" w:cs="仿宋"/>
          <w:bCs/>
          <w:szCs w:val="21"/>
          <w:highlight w:val="none"/>
        </w:rPr>
      </w:pPr>
      <w:r>
        <w:rPr>
          <w:rFonts w:hint="eastAsia" w:ascii="楷体" w:hAnsi="楷体" w:eastAsia="楷体" w:cs="仿宋"/>
          <w:bCs/>
          <w:szCs w:val="21"/>
          <w:highlight w:val="none"/>
        </w:rPr>
        <w:t>10.产品具体要求：</w:t>
      </w:r>
    </w:p>
    <w:p w14:paraId="65DC0781">
      <w:pPr>
        <w:pStyle w:val="190"/>
        <w:tabs>
          <w:tab w:val="left" w:pos="425"/>
        </w:tabs>
        <w:adjustRightInd w:val="0"/>
        <w:snapToGrid w:val="0"/>
        <w:spacing w:line="360" w:lineRule="auto"/>
        <w:ind w:firstLine="0" w:firstLineChars="0"/>
        <w:jc w:val="left"/>
        <w:textAlignment w:val="baseline"/>
        <w:rPr>
          <w:rFonts w:ascii="楷体" w:hAnsi="楷体" w:eastAsia="楷体" w:cs="仿宋"/>
          <w:bCs/>
          <w:szCs w:val="21"/>
          <w:highlight w:val="none"/>
        </w:rPr>
      </w:pPr>
      <w:r>
        <w:rPr>
          <w:rFonts w:hint="eastAsia" w:ascii="楷体" w:hAnsi="楷体" w:eastAsia="楷体" w:cs="仿宋"/>
          <w:bCs/>
          <w:szCs w:val="21"/>
          <w:highlight w:val="none"/>
        </w:rPr>
        <w:t>1）干净卫生、无毒性、无公害，用料足，克重高，承重好，不软塌，不易变形。</w:t>
      </w:r>
    </w:p>
    <w:p w14:paraId="4518C9BD">
      <w:pPr>
        <w:pStyle w:val="190"/>
        <w:tabs>
          <w:tab w:val="left" w:pos="425"/>
        </w:tabs>
        <w:adjustRightInd w:val="0"/>
        <w:snapToGrid w:val="0"/>
        <w:spacing w:line="360" w:lineRule="auto"/>
        <w:ind w:firstLine="0" w:firstLineChars="0"/>
        <w:jc w:val="left"/>
        <w:textAlignment w:val="baseline"/>
        <w:rPr>
          <w:rFonts w:ascii="楷体" w:hAnsi="楷体" w:eastAsia="楷体" w:cs="仿宋"/>
          <w:bCs/>
          <w:szCs w:val="21"/>
          <w:highlight w:val="none"/>
        </w:rPr>
      </w:pPr>
      <w:r>
        <w:rPr>
          <w:rFonts w:hint="eastAsia" w:ascii="楷体" w:hAnsi="楷体" w:eastAsia="楷体" w:cs="仿宋"/>
          <w:bCs/>
          <w:szCs w:val="21"/>
          <w:highlight w:val="none"/>
        </w:rPr>
        <w:t>2）感官要求：外观完好，色泽正常、表面平整洁净、质地均匀、边缘光滑；造型美观，拿、放方便；无模型缺陷、毛刺、起泡、划痕、皱褶、剥离、破裂、穿孔、油污、尘土、霉变、异嗅及其他异物等。带盖产品盖合方便平整，容器与盖匹配。具有容器功能的产品，应放置稳定。有颜色的餐饮具不能有明显的变色、退色、颜色深浅不均（有装饰要求除外）、污点等。</w:t>
      </w:r>
    </w:p>
    <w:p w14:paraId="63002463">
      <w:pPr>
        <w:pStyle w:val="190"/>
        <w:tabs>
          <w:tab w:val="left" w:pos="425"/>
        </w:tabs>
        <w:adjustRightInd w:val="0"/>
        <w:snapToGrid w:val="0"/>
        <w:spacing w:line="360" w:lineRule="auto"/>
        <w:ind w:firstLine="0" w:firstLineChars="0"/>
        <w:jc w:val="left"/>
        <w:textAlignment w:val="baseline"/>
        <w:rPr>
          <w:rFonts w:ascii="楷体" w:hAnsi="楷体" w:eastAsia="楷体" w:cs="仿宋"/>
          <w:bCs/>
          <w:szCs w:val="21"/>
          <w:highlight w:val="none"/>
        </w:rPr>
      </w:pPr>
      <w:r>
        <w:rPr>
          <w:rFonts w:hint="eastAsia" w:ascii="楷体" w:hAnsi="楷体" w:eastAsia="楷体" w:cs="仿宋"/>
          <w:bCs/>
          <w:szCs w:val="21"/>
          <w:highlight w:val="none"/>
        </w:rPr>
        <w:t>3）杯类：装饮品后杯身、杯盖不变形，扣盖方便，带盖饮用不移位、饮品不渗漏。</w:t>
      </w:r>
    </w:p>
    <w:p w14:paraId="1780C3CF">
      <w:pPr>
        <w:pStyle w:val="190"/>
        <w:tabs>
          <w:tab w:val="left" w:pos="425"/>
        </w:tabs>
        <w:adjustRightInd w:val="0"/>
        <w:snapToGrid w:val="0"/>
        <w:spacing w:line="360" w:lineRule="auto"/>
        <w:ind w:firstLine="0" w:firstLineChars="0"/>
        <w:jc w:val="left"/>
        <w:textAlignment w:val="baseline"/>
        <w:rPr>
          <w:rFonts w:ascii="楷体" w:hAnsi="楷体" w:eastAsia="楷体" w:cs="仿宋"/>
          <w:bCs/>
          <w:szCs w:val="21"/>
          <w:highlight w:val="none"/>
        </w:rPr>
      </w:pPr>
      <w:r>
        <w:rPr>
          <w:rFonts w:hint="eastAsia" w:ascii="楷体" w:hAnsi="楷体" w:eastAsia="楷体" w:cs="仿宋"/>
          <w:bCs/>
          <w:szCs w:val="21"/>
          <w:highlight w:val="none"/>
        </w:rPr>
        <w:t>4）包装袋类：保鲜袋外包装须标注等使用材料为PP/食品级PE/食品直接接触用PE，使用最高温度≥100°。</w:t>
      </w:r>
    </w:p>
    <w:p w14:paraId="41E48782">
      <w:pPr>
        <w:pStyle w:val="190"/>
        <w:tabs>
          <w:tab w:val="left" w:pos="425"/>
        </w:tabs>
        <w:adjustRightInd w:val="0"/>
        <w:snapToGrid w:val="0"/>
        <w:spacing w:line="360" w:lineRule="auto"/>
        <w:ind w:firstLine="0" w:firstLineChars="0"/>
        <w:jc w:val="left"/>
        <w:textAlignment w:val="baseline"/>
        <w:rPr>
          <w:rFonts w:ascii="楷体" w:hAnsi="楷体" w:eastAsia="楷体" w:cs="仿宋"/>
          <w:bCs/>
          <w:szCs w:val="21"/>
          <w:highlight w:val="none"/>
        </w:rPr>
      </w:pPr>
      <w:r>
        <w:rPr>
          <w:rFonts w:hint="eastAsia" w:ascii="楷体" w:hAnsi="楷体" w:eastAsia="楷体" w:cs="仿宋"/>
          <w:bCs/>
          <w:szCs w:val="21"/>
          <w:highlight w:val="none"/>
        </w:rPr>
        <w:t>5）竹筷要求每双独立包装，表面光滑，无竹粉，无倒刺、无霉变等质量问题。</w:t>
      </w:r>
    </w:p>
    <w:p w14:paraId="772F5F9D">
      <w:pPr>
        <w:pStyle w:val="190"/>
        <w:tabs>
          <w:tab w:val="left" w:pos="425"/>
        </w:tabs>
        <w:adjustRightInd w:val="0"/>
        <w:snapToGrid w:val="0"/>
        <w:spacing w:line="360" w:lineRule="auto"/>
        <w:ind w:firstLine="0" w:firstLineChars="0"/>
        <w:jc w:val="left"/>
        <w:textAlignment w:val="baseline"/>
        <w:rPr>
          <w:rFonts w:ascii="楷体" w:hAnsi="楷体" w:eastAsia="楷体" w:cs="仿宋"/>
          <w:bCs/>
          <w:szCs w:val="21"/>
          <w:highlight w:val="none"/>
        </w:rPr>
      </w:pPr>
      <w:r>
        <w:rPr>
          <w:rFonts w:hint="eastAsia" w:ascii="楷体" w:hAnsi="楷体" w:eastAsia="楷体" w:cs="仿宋"/>
          <w:bCs/>
          <w:szCs w:val="21"/>
          <w:highlight w:val="none"/>
        </w:rPr>
        <w:t>6）碗类、饭盒类：</w:t>
      </w:r>
    </w:p>
    <w:p w14:paraId="6F73FE9F">
      <w:pPr>
        <w:pStyle w:val="190"/>
        <w:tabs>
          <w:tab w:val="left" w:pos="425"/>
        </w:tabs>
        <w:adjustRightInd w:val="0"/>
        <w:snapToGrid w:val="0"/>
        <w:spacing w:line="360" w:lineRule="auto"/>
        <w:jc w:val="left"/>
        <w:textAlignment w:val="baseline"/>
        <w:rPr>
          <w:rFonts w:ascii="楷体" w:hAnsi="楷体" w:eastAsia="楷体" w:cs="仿宋"/>
          <w:bCs/>
          <w:szCs w:val="21"/>
          <w:highlight w:val="none"/>
        </w:rPr>
      </w:pPr>
      <w:r>
        <w:rPr>
          <w:rFonts w:hint="eastAsia" w:ascii="楷体" w:hAnsi="楷体" w:eastAsia="楷体" w:cs="仿宋"/>
          <w:bCs/>
          <w:szCs w:val="21"/>
          <w:highlight w:val="none"/>
        </w:rPr>
        <w:t>材质PP5/PP（聚丙烯），盒盖整齐无偏离，扣盖方便，扣盖后牢固、不移位、汤汁不渗漏；耐热水、热油试验后，不变形、起皮、起皱、渗漏；微波炉试验5分钟后不变形、缺陷、渗漏和异常，适合微波炉烘烤，冰箱冷冻保鲜；饭盒类当负重</w:t>
      </w:r>
      <w:r>
        <w:rPr>
          <w:rFonts w:ascii="楷体" w:hAnsi="楷体" w:eastAsia="楷体" w:cs="仿宋"/>
          <w:bCs/>
          <w:szCs w:val="21"/>
          <w:highlight w:val="none"/>
        </w:rPr>
        <w:t>3</w:t>
      </w:r>
      <w:r>
        <w:rPr>
          <w:rFonts w:hint="eastAsia" w:ascii="楷体" w:hAnsi="楷体" w:eastAsia="楷体" w:cs="仿宋"/>
          <w:bCs/>
          <w:szCs w:val="21"/>
          <w:highlight w:val="none"/>
        </w:rPr>
        <w:t>kg时，高度变化≤5%，打餐后叠放10个饭盒不倒不塌不变形，汤汁不渗漏。</w:t>
      </w:r>
    </w:p>
    <w:p w14:paraId="4FFC0BE0">
      <w:pPr>
        <w:pStyle w:val="190"/>
        <w:tabs>
          <w:tab w:val="left" w:pos="425"/>
        </w:tabs>
        <w:adjustRightInd w:val="0"/>
        <w:snapToGrid w:val="0"/>
        <w:spacing w:line="360" w:lineRule="auto"/>
        <w:ind w:firstLine="0" w:firstLineChars="0"/>
        <w:jc w:val="left"/>
        <w:textAlignment w:val="baseline"/>
        <w:rPr>
          <w:rFonts w:ascii="宋体" w:hAnsi="宋体"/>
          <w:color w:val="000000"/>
          <w:sz w:val="24"/>
          <w:szCs w:val="24"/>
          <w:highlight w:val="none"/>
        </w:rPr>
      </w:pPr>
    </w:p>
    <w:p w14:paraId="136082CB">
      <w:pPr>
        <w:numPr>
          <w:ilvl w:val="0"/>
          <w:numId w:val="1"/>
        </w:numPr>
        <w:spacing w:line="360" w:lineRule="auto"/>
        <w:outlineLvl w:val="0"/>
        <w:rPr>
          <w:rFonts w:ascii="楷体" w:hAnsi="楷体" w:eastAsia="楷体"/>
          <w:b/>
          <w:color w:val="000000"/>
          <w:sz w:val="28"/>
          <w:szCs w:val="28"/>
          <w:highlight w:val="none"/>
        </w:rPr>
      </w:pPr>
      <w:bookmarkStart w:id="30" w:name="_Toc3885"/>
      <w:r>
        <w:rPr>
          <w:rFonts w:hint="eastAsia" w:ascii="楷体" w:hAnsi="楷体" w:eastAsia="楷体"/>
          <w:b/>
          <w:color w:val="000000"/>
          <w:sz w:val="28"/>
          <w:szCs w:val="28"/>
          <w:highlight w:val="none"/>
        </w:rPr>
        <w:t>验收要求</w:t>
      </w:r>
      <w:bookmarkEnd w:id="30"/>
    </w:p>
    <w:p w14:paraId="7886673B">
      <w:pPr>
        <w:numPr>
          <w:ilvl w:val="0"/>
          <w:numId w:val="4"/>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采购人按照“</w:t>
      </w:r>
      <w:r>
        <w:rPr>
          <w:rFonts w:hint="eastAsia" w:ascii="楷体" w:hAnsi="楷体" w:eastAsia="楷体" w:cs="仿宋"/>
          <w:bCs/>
          <w:szCs w:val="21"/>
          <w:highlight w:val="none"/>
          <w:lang w:val="en-US" w:eastAsia="zh-CN"/>
        </w:rPr>
        <w:t>二</w:t>
      </w:r>
      <w:r>
        <w:rPr>
          <w:rFonts w:hint="eastAsia" w:ascii="楷体" w:hAnsi="楷体" w:eastAsia="楷体" w:cs="仿宋"/>
          <w:bCs/>
          <w:szCs w:val="21"/>
          <w:highlight w:val="none"/>
        </w:rPr>
        <w:t>、服务要求”及“</w:t>
      </w:r>
      <w:r>
        <w:rPr>
          <w:rFonts w:hint="eastAsia" w:ascii="楷体" w:hAnsi="楷体" w:eastAsia="楷体" w:cs="仿宋"/>
          <w:bCs/>
          <w:szCs w:val="21"/>
          <w:highlight w:val="none"/>
          <w:lang w:val="en-US" w:eastAsia="zh-CN"/>
        </w:rPr>
        <w:t>四</w:t>
      </w:r>
      <w:r>
        <w:rPr>
          <w:rFonts w:hint="eastAsia" w:ascii="楷体" w:hAnsi="楷体" w:eastAsia="楷体" w:cs="仿宋"/>
          <w:bCs/>
          <w:szCs w:val="21"/>
          <w:highlight w:val="none"/>
        </w:rPr>
        <w:t>、食品安全及产品质量要求”及样品作为验收标准进行验收。货不对板时，作退货处理。</w:t>
      </w:r>
    </w:p>
    <w:p w14:paraId="57333932">
      <w:pPr>
        <w:numPr>
          <w:ilvl w:val="0"/>
          <w:numId w:val="4"/>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实际数量以采购人验货及盘点数量为准，供应商每次随货送上至少一式两份的纸质版送货清单，包含：品种、品牌（如有）、规格</w:t>
      </w:r>
      <w:r>
        <w:rPr>
          <w:rFonts w:hint="eastAsia" w:ascii="楷体" w:hAnsi="楷体" w:eastAsia="楷体" w:cs="仿宋"/>
          <w:bCs/>
          <w:szCs w:val="21"/>
          <w:highlight w:val="none"/>
          <w:lang w:val="en-US" w:eastAsia="zh-CN"/>
        </w:rPr>
        <w:t>型号</w:t>
      </w:r>
      <w:r>
        <w:rPr>
          <w:rFonts w:hint="eastAsia" w:ascii="楷体" w:hAnsi="楷体" w:eastAsia="楷体" w:cs="仿宋"/>
          <w:bCs/>
          <w:szCs w:val="21"/>
          <w:highlight w:val="none"/>
        </w:rPr>
        <w:t>、配送数量、实收数量、单价、总金额、送货人签字等，并加盖公章或送货专用章，双方各持一份，作为送、收货凭证及结算依据；货物送达采购人指定地点后，由双方工作人员按送货单进行初步验收和签名确认。</w:t>
      </w:r>
    </w:p>
    <w:p w14:paraId="63260941">
      <w:pPr>
        <w:numPr>
          <w:ilvl w:val="0"/>
          <w:numId w:val="4"/>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初步验收包括品种、品牌（如有）、规格</w:t>
      </w:r>
      <w:r>
        <w:rPr>
          <w:rFonts w:hint="eastAsia" w:ascii="楷体" w:hAnsi="楷体" w:eastAsia="楷体" w:cs="仿宋"/>
          <w:bCs/>
          <w:szCs w:val="21"/>
          <w:highlight w:val="none"/>
          <w:lang w:val="en-US" w:eastAsia="zh-CN"/>
        </w:rPr>
        <w:t>型号</w:t>
      </w:r>
      <w:r>
        <w:rPr>
          <w:rFonts w:hint="eastAsia" w:ascii="楷体" w:hAnsi="楷体" w:eastAsia="楷体" w:cs="仿宋"/>
          <w:bCs/>
          <w:szCs w:val="21"/>
          <w:highlight w:val="none"/>
        </w:rPr>
        <w:t>、配送数量、实收数量、单价、总金额、外观包装是否完好、外观质量等。初步验收仅代表采购人收到中标人送达货物的数量，并不代表采购人已认可中标人货物的质量。采购人若在使用过程中发现货物存在质量问题，中标人应在1个工作日内办理退货或换货。采购人初步验收后签字确认，双方各持一份，作为送、收货凭证及结算依据。</w:t>
      </w:r>
    </w:p>
    <w:p w14:paraId="453DF780">
      <w:pPr>
        <w:numPr>
          <w:ilvl w:val="0"/>
          <w:numId w:val="4"/>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在采购人签收之前，物资的所有权和风险属于中标人，物资发生遗失、损坏由中标人负责。</w:t>
      </w:r>
    </w:p>
    <w:p w14:paraId="754CD11F">
      <w:pPr>
        <w:pStyle w:val="190"/>
        <w:tabs>
          <w:tab w:val="left" w:pos="425"/>
        </w:tabs>
        <w:adjustRightInd w:val="0"/>
        <w:snapToGrid w:val="0"/>
        <w:spacing w:line="360" w:lineRule="auto"/>
        <w:ind w:firstLine="0" w:firstLineChars="0"/>
        <w:jc w:val="left"/>
        <w:textAlignment w:val="baseline"/>
        <w:rPr>
          <w:rFonts w:ascii="宋体" w:hAnsi="宋体"/>
          <w:color w:val="000000"/>
          <w:sz w:val="24"/>
          <w:szCs w:val="24"/>
          <w:highlight w:val="none"/>
        </w:rPr>
      </w:pPr>
    </w:p>
    <w:p w14:paraId="1EFF9A7C">
      <w:pPr>
        <w:numPr>
          <w:ilvl w:val="0"/>
          <w:numId w:val="1"/>
        </w:numPr>
        <w:spacing w:line="360" w:lineRule="auto"/>
        <w:outlineLvl w:val="0"/>
        <w:rPr>
          <w:rFonts w:ascii="楷体" w:hAnsi="楷体" w:eastAsia="楷体"/>
          <w:b/>
          <w:color w:val="000000"/>
          <w:sz w:val="28"/>
          <w:szCs w:val="28"/>
          <w:highlight w:val="none"/>
        </w:rPr>
      </w:pPr>
      <w:bookmarkStart w:id="31" w:name="_Toc20215"/>
      <w:r>
        <w:rPr>
          <w:rFonts w:hint="eastAsia" w:ascii="楷体" w:hAnsi="楷体" w:eastAsia="楷体"/>
          <w:b/>
          <w:color w:val="000000"/>
          <w:sz w:val="28"/>
          <w:szCs w:val="28"/>
          <w:highlight w:val="none"/>
        </w:rPr>
        <w:t>★食品安全责任保险及履约保证金</w:t>
      </w:r>
      <w:bookmarkEnd w:id="31"/>
    </w:p>
    <w:p w14:paraId="4ED64337">
      <w:pPr>
        <w:numPr>
          <w:ilvl w:val="0"/>
          <w:numId w:val="5"/>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食品安全责任保险，中标人须承诺在中标后30天内向采购人提供有效的“食品安全责任保险”且保额在100万元（含）以上，到期后及时续保，并保证本项目供货期需在保险期限内，并将该保险合同复印件交由采购人主管部门备案。</w:t>
      </w:r>
      <w:r>
        <w:rPr>
          <w:rFonts w:hint="eastAsia" w:ascii="楷体" w:hAnsi="楷体" w:eastAsia="楷体" w:cs="仿宋"/>
          <w:bCs/>
          <w:szCs w:val="21"/>
          <w:highlight w:val="none"/>
          <w:lang w:val="en-US" w:eastAsia="zh-CN"/>
        </w:rPr>
        <w:t>投标时</w:t>
      </w:r>
      <w:r>
        <w:rPr>
          <w:rFonts w:hint="eastAsia" w:ascii="楷体" w:hAnsi="楷体" w:eastAsia="楷体" w:cs="仿宋"/>
          <w:bCs/>
          <w:szCs w:val="21"/>
          <w:highlight w:val="none"/>
        </w:rPr>
        <w:t>提供针对本项条款的书面</w:t>
      </w:r>
      <w:r>
        <w:rPr>
          <w:rFonts w:hint="eastAsia" w:ascii="楷体" w:hAnsi="楷体" w:eastAsia="楷体" w:cs="仿宋"/>
          <w:bCs/>
          <w:szCs w:val="21"/>
          <w:highlight w:val="none"/>
          <w:lang w:val="en-US" w:eastAsia="zh-CN"/>
        </w:rPr>
        <w:t>盖章</w:t>
      </w:r>
      <w:r>
        <w:rPr>
          <w:rFonts w:hint="eastAsia" w:ascii="楷体" w:hAnsi="楷体" w:eastAsia="楷体" w:cs="仿宋"/>
          <w:bCs/>
          <w:szCs w:val="21"/>
          <w:highlight w:val="none"/>
        </w:rPr>
        <w:t>承诺函，如有虚假承诺将按照《中华人民共和国政府采购法》第七十七条规定处理。</w:t>
      </w:r>
    </w:p>
    <w:p w14:paraId="0CDD695A">
      <w:pPr>
        <w:numPr>
          <w:ilvl w:val="0"/>
          <w:numId w:val="5"/>
        </w:numPr>
        <w:shd w:val="clear" w:color="auto" w:fill="FFFFFF"/>
        <w:snapToGrid w:val="0"/>
        <w:spacing w:line="360" w:lineRule="auto"/>
        <w:jc w:val="left"/>
        <w:rPr>
          <w:rFonts w:ascii="楷体" w:hAnsi="楷体" w:eastAsia="楷体" w:cs="仿宋"/>
          <w:bCs/>
          <w:szCs w:val="21"/>
          <w:highlight w:val="none"/>
        </w:rPr>
      </w:pPr>
      <w:r>
        <w:rPr>
          <w:rFonts w:hint="eastAsia" w:ascii="楷体" w:hAnsi="楷体" w:eastAsia="楷体" w:cs="仿宋"/>
          <w:bCs/>
          <w:szCs w:val="21"/>
          <w:highlight w:val="none"/>
        </w:rPr>
        <w:t>中标人在签订每期合同前需按照政府采购规定的方式（支票、汇票、本票或者金融机构、担保机构出具的保函等非现金形式），向采购人递交</w:t>
      </w:r>
      <w:r>
        <w:rPr>
          <w:rFonts w:hint="eastAsia" w:ascii="楷体" w:hAnsi="楷体" w:eastAsia="楷体" w:cs="仿宋"/>
          <w:bCs/>
          <w:szCs w:val="21"/>
          <w:highlight w:val="none"/>
          <w:lang w:val="en-US" w:eastAsia="zh-CN"/>
        </w:rPr>
        <w:t>每期合同</w:t>
      </w:r>
      <w:r>
        <w:rPr>
          <w:rFonts w:hint="eastAsia" w:ascii="楷体" w:hAnsi="楷体" w:eastAsia="楷体" w:cs="仿宋"/>
          <w:bCs/>
          <w:szCs w:val="21"/>
          <w:highlight w:val="none"/>
        </w:rPr>
        <w:t>履约保证金¥</w:t>
      </w:r>
      <w:r>
        <w:rPr>
          <w:rFonts w:hint="eastAsia" w:ascii="楷体" w:hAnsi="楷体" w:eastAsia="楷体" w:cs="仿宋"/>
          <w:bCs/>
          <w:szCs w:val="21"/>
          <w:highlight w:val="none"/>
          <w:lang w:val="en-US" w:eastAsia="zh-CN"/>
        </w:rPr>
        <w:t>5</w:t>
      </w:r>
      <w:r>
        <w:rPr>
          <w:rFonts w:hint="eastAsia" w:ascii="楷体" w:hAnsi="楷体" w:eastAsia="楷体" w:cs="仿宋"/>
          <w:bCs/>
          <w:szCs w:val="21"/>
          <w:highlight w:val="none"/>
        </w:rPr>
        <w:t>0000元（大写：人民币</w:t>
      </w:r>
      <w:r>
        <w:rPr>
          <w:rFonts w:hint="eastAsia" w:ascii="楷体" w:hAnsi="楷体" w:eastAsia="楷体" w:cs="仿宋"/>
          <w:bCs/>
          <w:szCs w:val="21"/>
          <w:highlight w:val="none"/>
          <w:lang w:val="en-US" w:eastAsia="zh-CN"/>
        </w:rPr>
        <w:t>伍</w:t>
      </w:r>
      <w:r>
        <w:rPr>
          <w:rFonts w:hint="eastAsia" w:ascii="楷体" w:hAnsi="楷体" w:eastAsia="楷体" w:cs="仿宋"/>
          <w:bCs/>
          <w:szCs w:val="21"/>
          <w:highlight w:val="none"/>
        </w:rPr>
        <w:t>万元整）。支票、汇票、本票等现金形式，中标人履约完毕，在合同期满后向采购人提交退还申请书，采购人在收到中标人退还履约保证金的申请书后30天内无息退还中标人。金融机构、担保机构出具的保函等非现金形式在合同期满之日起30日内失效。在合同执行中发生中标人违约行为时，采购人有权从履约保证金中扣除违约金或损失赔偿额，若履约保证金不足抵扣时，中标人仍应在限期内（十天内）支付不足的违约金；如违约金或损失赔偿额从履约保证金中抵扣的，中标人应在限期内（5天内）补足履约保证金。因中标人原因导致提前终止合同时，采购人有权不退回履约保证金给中标人。</w:t>
      </w:r>
    </w:p>
    <w:p w14:paraId="3DF4779F">
      <w:pPr>
        <w:spacing w:line="360" w:lineRule="auto"/>
        <w:outlineLvl w:val="0"/>
        <w:rPr>
          <w:rFonts w:hint="eastAsia" w:ascii="楷体" w:hAnsi="楷体" w:eastAsia="楷体"/>
          <w:b/>
          <w:color w:val="000000"/>
          <w:sz w:val="28"/>
          <w:szCs w:val="28"/>
          <w:highlight w:val="none"/>
          <w:lang w:val="en-US" w:eastAsia="zh-CN"/>
        </w:rPr>
      </w:pPr>
    </w:p>
    <w:p w14:paraId="1C1B4AE3">
      <w:pPr>
        <w:spacing w:line="360" w:lineRule="auto"/>
        <w:outlineLvl w:val="0"/>
        <w:rPr>
          <w:rFonts w:hint="eastAsia" w:ascii="楷体" w:hAnsi="楷体" w:eastAsia="楷体"/>
          <w:b/>
          <w:color w:val="000000"/>
          <w:sz w:val="28"/>
          <w:szCs w:val="28"/>
          <w:highlight w:val="none"/>
          <w:lang w:val="en-US" w:eastAsia="zh-CN"/>
        </w:rPr>
      </w:pPr>
    </w:p>
    <w:p w14:paraId="535516BD">
      <w:pPr>
        <w:spacing w:line="360" w:lineRule="auto"/>
        <w:outlineLvl w:val="0"/>
        <w:rPr>
          <w:rFonts w:hint="eastAsia" w:ascii="楷体" w:hAnsi="楷体" w:eastAsia="楷体"/>
          <w:b/>
          <w:color w:val="000000"/>
          <w:sz w:val="28"/>
          <w:szCs w:val="28"/>
          <w:highlight w:val="none"/>
          <w:lang w:val="en-US" w:eastAsia="zh-CN"/>
        </w:rPr>
      </w:pPr>
    </w:p>
    <w:p w14:paraId="3C94A256">
      <w:pPr>
        <w:spacing w:line="360" w:lineRule="auto"/>
        <w:outlineLvl w:val="0"/>
        <w:rPr>
          <w:rFonts w:hint="eastAsia" w:ascii="楷体" w:hAnsi="楷体" w:eastAsia="楷体"/>
          <w:b/>
          <w:color w:val="000000"/>
          <w:sz w:val="28"/>
          <w:szCs w:val="28"/>
          <w:highlight w:val="none"/>
          <w:lang w:val="en-US" w:eastAsia="zh-CN"/>
        </w:rPr>
      </w:pPr>
    </w:p>
    <w:p w14:paraId="60D4C33F">
      <w:pPr>
        <w:spacing w:line="360" w:lineRule="auto"/>
        <w:outlineLvl w:val="0"/>
        <w:rPr>
          <w:rFonts w:hint="default" w:ascii="楷体" w:hAnsi="楷体" w:eastAsia="楷体"/>
          <w:b/>
          <w:color w:val="000000"/>
          <w:sz w:val="28"/>
          <w:szCs w:val="28"/>
          <w:highlight w:val="none"/>
          <w:lang w:val="en-US" w:eastAsia="zh-CN"/>
        </w:rPr>
      </w:pPr>
      <w:r>
        <w:rPr>
          <w:rFonts w:hint="eastAsia" w:ascii="楷体" w:hAnsi="楷体" w:eastAsia="楷体"/>
          <w:b/>
          <w:color w:val="000000"/>
          <w:sz w:val="28"/>
          <w:szCs w:val="28"/>
          <w:highlight w:val="none"/>
          <w:lang w:val="en-US" w:eastAsia="zh-CN"/>
        </w:rPr>
        <w:t>七、投标样品（市场调研时须提供）</w:t>
      </w:r>
    </w:p>
    <w:tbl>
      <w:tblPr>
        <w:tblStyle w:val="49"/>
        <w:tblW w:w="10016" w:type="dxa"/>
        <w:tblInd w:w="-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1389"/>
        <w:gridCol w:w="2417"/>
        <w:gridCol w:w="2331"/>
        <w:gridCol w:w="1922"/>
        <w:gridCol w:w="773"/>
      </w:tblGrid>
      <w:tr w14:paraId="6823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2BA1">
            <w:pPr>
              <w:keepNext w:val="0"/>
              <w:keepLines w:val="0"/>
              <w:widowControl/>
              <w:suppressLineNumbers w:val="0"/>
              <w:jc w:val="center"/>
              <w:textAlignment w:val="center"/>
              <w:rPr>
                <w:rFonts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拟配送清单序号</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57EE">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品类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2B9B">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商品名称</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ADFA">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材质</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75C">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规格型号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0BAF">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r>
      <w:tr w14:paraId="35198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E97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141</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521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碗类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A56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圆形汤碗（透明、配盖）</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A97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材质：PP，颜色：透明</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41F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450mL/个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87B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r>
      <w:tr w14:paraId="2DAB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2A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83</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EE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饭盒类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23D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三格矩形饭盒（透明、配盖）</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155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材质：PP，颜色：透明</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20C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1000mL/个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80D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r>
      <w:tr w14:paraId="70DD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19E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143</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187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碗类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BEB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扁形圆碗（白色、配透明盖）</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0FD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材质：PP，颜色；白色</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FD4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350mL/个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E51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r>
      <w:tr w14:paraId="1CB8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D7C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B16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杯类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C9F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奶茶杯透明杯带盖（大、带采购人logo）</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A68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材质：PP，颜色：透明</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86B9D">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13.5cm*9cm，500mL/个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7BC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r>
      <w:tr w14:paraId="7D6C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CAB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1FE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包装类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34C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保鲜袋</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441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材质：PE</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E10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20cm*30cm,150个/卷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51A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卷</w:t>
            </w:r>
          </w:p>
        </w:tc>
      </w:tr>
      <w:tr w14:paraId="460D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1F2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CAD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饭盒类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ADE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单格矩形饭盒（透明、配盖）</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61B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材质：PP,颜色：透明</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A9A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750mL/个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C40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r>
      <w:tr w14:paraId="67C0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C14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30B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碗类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A93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透明碗（透明、配盖）</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FA4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材质：PP，颜色：透明</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0D1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1000mL/个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D66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r>
      <w:tr w14:paraId="1FE2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7E2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D29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杯类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78B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豆浆杯（配黑色/白色盖，加厚，带采购人LOGO）</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F76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杯：纸制品，盖：PP</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301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360mL/个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36B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r>
      <w:tr w14:paraId="4F6A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534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89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杯类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E3F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豆浆杯（配黑色/白色盖，</w:t>
            </w:r>
            <w:r>
              <w:rPr>
                <w:rFonts w:hint="eastAsia" w:ascii="楷体" w:hAnsi="楷体" w:eastAsia="楷体" w:cs="楷体"/>
                <w:i w:val="0"/>
                <w:iCs w:val="0"/>
                <w:color w:val="000000"/>
                <w:kern w:val="0"/>
                <w:sz w:val="24"/>
                <w:szCs w:val="24"/>
                <w:highlight w:val="green"/>
                <w:u w:val="none"/>
                <w:lang w:val="en-US" w:eastAsia="zh-CN" w:bidi="ar"/>
              </w:rPr>
              <w:t>加厚</w:t>
            </w:r>
            <w:r>
              <w:rPr>
                <w:rFonts w:hint="eastAsia" w:ascii="楷体" w:hAnsi="楷体" w:eastAsia="楷体" w:cs="楷体"/>
                <w:i w:val="0"/>
                <w:iCs w:val="0"/>
                <w:color w:val="000000"/>
                <w:kern w:val="0"/>
                <w:sz w:val="24"/>
                <w:szCs w:val="24"/>
                <w:u w:val="none"/>
                <w:lang w:val="en-US" w:eastAsia="zh-CN" w:bidi="ar"/>
              </w:rPr>
              <w:t>）</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F8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杯：纸制品，盖：PP</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308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360mL/个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A5C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r>
      <w:tr w14:paraId="06C1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069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B44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包装类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5F8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食品环保塑料袋（</w:t>
            </w:r>
            <w:r>
              <w:rPr>
                <w:rFonts w:hint="eastAsia" w:ascii="楷体" w:hAnsi="楷体" w:eastAsia="楷体" w:cs="楷体"/>
                <w:i w:val="0"/>
                <w:iCs w:val="0"/>
                <w:color w:val="000000"/>
                <w:kern w:val="0"/>
                <w:sz w:val="24"/>
                <w:szCs w:val="24"/>
                <w:highlight w:val="none"/>
                <w:u w:val="none"/>
                <w:lang w:val="en-US" w:eastAsia="zh-CN" w:bidi="ar"/>
              </w:rPr>
              <w:t>厚</w:t>
            </w:r>
            <w:r>
              <w:rPr>
                <w:rFonts w:hint="eastAsia" w:ascii="楷体" w:hAnsi="楷体" w:eastAsia="楷体" w:cs="楷体"/>
                <w:i w:val="0"/>
                <w:iCs w:val="0"/>
                <w:color w:val="000000"/>
                <w:kern w:val="0"/>
                <w:sz w:val="24"/>
                <w:szCs w:val="24"/>
                <w:u w:val="none"/>
                <w:lang w:val="en-US" w:eastAsia="zh-CN" w:bidi="ar"/>
              </w:rPr>
              <w:t>、大）</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1BD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材质：PP，颜色：透明</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7D1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460mm*290mm,厚0.025mm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59F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r>
    </w:tbl>
    <w:p w14:paraId="743BA1C2">
      <w:pPr>
        <w:spacing w:line="360" w:lineRule="auto"/>
        <w:rPr>
          <w:rFonts w:ascii="宋体" w:hAnsi="宋体" w:cs="宋体"/>
          <w:b/>
          <w:color w:val="000000"/>
          <w:szCs w:val="21"/>
          <w:highlight w:val="none"/>
        </w:rPr>
      </w:pPr>
      <w:r>
        <w:rPr>
          <w:rFonts w:hint="eastAsia" w:ascii="宋体" w:hAnsi="宋体" w:cs="宋体"/>
          <w:b/>
          <w:color w:val="000000"/>
          <w:szCs w:val="21"/>
          <w:highlight w:val="none"/>
        </w:rPr>
        <w:t>1）样品应密封提交，并自行保障密封包装能保证样品品质。</w:t>
      </w:r>
    </w:p>
    <w:p w14:paraId="5789149B">
      <w:pPr>
        <w:spacing w:line="360" w:lineRule="auto"/>
        <w:rPr>
          <w:rFonts w:ascii="宋体" w:hAnsi="宋体" w:cs="宋体"/>
          <w:b/>
          <w:color w:val="000000"/>
          <w:szCs w:val="21"/>
          <w:highlight w:val="none"/>
        </w:rPr>
      </w:pPr>
      <w:r>
        <w:rPr>
          <w:rFonts w:hint="eastAsia" w:ascii="宋体" w:hAnsi="宋体" w:cs="宋体"/>
          <w:b/>
          <w:color w:val="000000"/>
          <w:szCs w:val="21"/>
          <w:highlight w:val="none"/>
        </w:rPr>
        <w:t>2）本文件采购清单中的样式为参照样式，仅作为评标参考。在采购任务完结之后，中标人投标样品将留存于采购人处，作为日后验收货物的依据。如供货货物低于样品的品质要求，采购人不予以验收。</w:t>
      </w:r>
    </w:p>
    <w:p w14:paraId="45C931F4">
      <w:pPr>
        <w:spacing w:line="360" w:lineRule="auto"/>
        <w:rPr>
          <w:rFonts w:ascii="宋体" w:hAnsi="宋体" w:cs="宋体"/>
          <w:b/>
          <w:color w:val="000000"/>
          <w:szCs w:val="21"/>
          <w:highlight w:val="none"/>
        </w:rPr>
      </w:pPr>
      <w:r>
        <w:rPr>
          <w:rFonts w:hint="eastAsia" w:ascii="宋体" w:hAnsi="宋体" w:cs="宋体"/>
          <w:b/>
          <w:color w:val="000000"/>
          <w:szCs w:val="21"/>
          <w:highlight w:val="none"/>
        </w:rPr>
        <w:t>3）投标人应当按上表要求提供样品，投标样品不得出现可推断出任何有关投标人名称、生产厂家信息、品牌以及其他可以识别产品信息的标记等，样品密封外包装上需注明项目名称、项目编号及样品名称和规格，除此之外，标识不允许增加其他内容（包括：投标单位或生产厂家名称&lt;或地址或联系方式&gt;、产品品牌、商标等），投标人的投标样品不能相互共用。投标样品须用纸箱或不透明包装膜等密封包装提交，否则造成的泄密责任或质量损坏或丢失等由投标人自行承担。</w:t>
      </w:r>
    </w:p>
    <w:p w14:paraId="1743972F">
      <w:pPr>
        <w:spacing w:line="360" w:lineRule="auto"/>
        <w:rPr>
          <w:rFonts w:ascii="宋体" w:hAnsi="宋体" w:cs="宋体"/>
          <w:b/>
          <w:color w:val="000000"/>
          <w:szCs w:val="21"/>
          <w:highlight w:val="none"/>
        </w:rPr>
      </w:pPr>
      <w:r>
        <w:rPr>
          <w:rFonts w:hint="eastAsia" w:ascii="宋体" w:hAnsi="宋体" w:cs="宋体"/>
          <w:b/>
          <w:color w:val="000000"/>
          <w:szCs w:val="21"/>
          <w:highlight w:val="none"/>
        </w:rPr>
        <w:t>4）采购人及采购代理机构对投标人所递交样品的破损或质量不负任何责任。</w:t>
      </w:r>
    </w:p>
    <w:p w14:paraId="642BF812">
      <w:pPr>
        <w:spacing w:line="360" w:lineRule="auto"/>
        <w:rPr>
          <w:rFonts w:ascii="宋体" w:hAnsi="宋体" w:cs="宋体"/>
          <w:b/>
          <w:color w:val="000000"/>
          <w:szCs w:val="21"/>
          <w:highlight w:val="none"/>
        </w:rPr>
      </w:pPr>
      <w:r>
        <w:rPr>
          <w:rFonts w:hint="eastAsia" w:ascii="宋体" w:hAnsi="宋体" w:cs="宋体"/>
          <w:b/>
          <w:color w:val="000000"/>
          <w:szCs w:val="21"/>
          <w:highlight w:val="none"/>
        </w:rPr>
        <w:t>5）未中标的投标人样品应在本项目中标公告发布之日起的</w:t>
      </w:r>
      <w:r>
        <w:rPr>
          <w:rFonts w:hint="eastAsia" w:ascii="宋体" w:hAnsi="宋体" w:cs="宋体"/>
          <w:b/>
          <w:color w:val="000000"/>
          <w:szCs w:val="21"/>
          <w:highlight w:val="none"/>
          <w:lang w:val="en-US" w:eastAsia="zh-CN"/>
        </w:rPr>
        <w:t>7</w:t>
      </w:r>
      <w:r>
        <w:rPr>
          <w:rFonts w:hint="eastAsia" w:ascii="宋体" w:hAnsi="宋体" w:cs="宋体"/>
          <w:b/>
          <w:color w:val="000000"/>
          <w:szCs w:val="21"/>
          <w:highlight w:val="none"/>
        </w:rPr>
        <w:t>个工作日内自行至采购代理机构取回投标样品。</w:t>
      </w:r>
      <w:r>
        <w:rPr>
          <w:rFonts w:hint="eastAsia" w:ascii="宋体" w:hAnsi="宋体" w:cs="宋体"/>
          <w:b/>
          <w:color w:val="000000"/>
          <w:szCs w:val="21"/>
          <w:highlight w:val="green"/>
          <w:lang w:val="en-US" w:eastAsia="zh-CN"/>
        </w:rPr>
        <w:t>7</w:t>
      </w:r>
      <w:r>
        <w:rPr>
          <w:rFonts w:hint="eastAsia" w:ascii="宋体" w:hAnsi="宋体" w:cs="宋体"/>
          <w:b/>
          <w:color w:val="000000"/>
          <w:szCs w:val="21"/>
          <w:highlight w:val="green"/>
        </w:rPr>
        <w:t>个工作日后</w:t>
      </w:r>
      <w:r>
        <w:rPr>
          <w:rFonts w:hint="eastAsia" w:ascii="宋体" w:hAnsi="宋体" w:cs="宋体"/>
          <w:b/>
          <w:color w:val="000000"/>
          <w:szCs w:val="21"/>
          <w:highlight w:val="none"/>
        </w:rPr>
        <w:t>投标人不取回样品，则视为同意采购代理机构有权自行处理相关样品。</w:t>
      </w:r>
    </w:p>
    <w:p w14:paraId="1D7CC677">
      <w:pPr>
        <w:spacing w:line="360" w:lineRule="auto"/>
        <w:rPr>
          <w:rFonts w:ascii="宋体" w:hAnsi="宋体" w:cs="宋体"/>
          <w:b/>
          <w:color w:val="000000"/>
          <w:szCs w:val="21"/>
          <w:highlight w:val="none"/>
        </w:rPr>
      </w:pPr>
      <w:r>
        <w:rPr>
          <w:rFonts w:hint="eastAsia" w:ascii="宋体" w:hAnsi="宋体" w:cs="宋体"/>
          <w:b/>
          <w:color w:val="000000"/>
          <w:szCs w:val="21"/>
          <w:highlight w:val="none"/>
        </w:rPr>
        <w:t>3.样品评审方式：</w:t>
      </w:r>
    </w:p>
    <w:p w14:paraId="59D1A340">
      <w:pPr>
        <w:spacing w:line="360" w:lineRule="auto"/>
        <w:rPr>
          <w:rFonts w:ascii="宋体" w:hAnsi="宋体" w:cs="宋体"/>
          <w:b/>
          <w:color w:val="000000"/>
          <w:szCs w:val="21"/>
          <w:highlight w:val="none"/>
        </w:rPr>
      </w:pPr>
      <w:r>
        <w:rPr>
          <w:rFonts w:hint="eastAsia" w:ascii="宋体" w:hAnsi="宋体" w:cs="宋体"/>
          <w:b/>
          <w:color w:val="000000"/>
          <w:szCs w:val="21"/>
          <w:highlight w:val="none"/>
        </w:rPr>
        <w:t>1）本项目样品评审环节采用盲评方式。</w:t>
      </w:r>
    </w:p>
    <w:p w14:paraId="17937299">
      <w:pPr>
        <w:spacing w:line="360" w:lineRule="auto"/>
        <w:rPr>
          <w:rFonts w:ascii="宋体" w:hAnsi="宋体" w:cs="宋体"/>
          <w:b/>
          <w:color w:val="000000"/>
          <w:szCs w:val="21"/>
          <w:highlight w:val="none"/>
        </w:rPr>
      </w:pPr>
      <w:r>
        <w:rPr>
          <w:rFonts w:hint="eastAsia" w:ascii="宋体" w:hAnsi="宋体" w:cs="宋体"/>
          <w:b/>
          <w:color w:val="000000"/>
          <w:szCs w:val="21"/>
          <w:highlight w:val="none"/>
        </w:rPr>
        <w:t>2）投标人采用代理机构统一发放的信息标签，按代理机构的要求在指定位置上进行粘贴。投标人领取标签时应对标签进行仔细核对确认并对其准确性负责，代理机构不承担因标签不一致而导致其样品评审不得分的后果。</w:t>
      </w:r>
    </w:p>
    <w:p w14:paraId="658225CE">
      <w:pPr>
        <w:spacing w:line="360" w:lineRule="auto"/>
        <w:rPr>
          <w:rFonts w:ascii="宋体" w:hAnsi="宋体" w:cs="宋体"/>
          <w:b/>
          <w:color w:val="000000"/>
          <w:szCs w:val="21"/>
          <w:highlight w:val="none"/>
        </w:rPr>
      </w:pPr>
      <w:r>
        <w:rPr>
          <w:rFonts w:hint="eastAsia" w:ascii="宋体" w:hAnsi="宋体" w:cs="宋体"/>
          <w:b/>
          <w:color w:val="000000"/>
          <w:szCs w:val="21"/>
          <w:highlight w:val="none"/>
        </w:rPr>
        <w:t>3）在开标会议结束后，由采购人监督人员或投标人授权代表随机抽取数字号码为各投标人进行编号，并由代理机构将统一格式的编号纸对投标人信息标签进行覆盖。评审专家对样品进行评审完毕后，在评审现场揭晓编号对应的投标人名称。</w:t>
      </w:r>
    </w:p>
    <w:p w14:paraId="2393B42F">
      <w:pPr>
        <w:spacing w:line="360" w:lineRule="auto"/>
        <w:rPr>
          <w:rFonts w:ascii="宋体" w:hAnsi="宋体" w:cs="宋体"/>
          <w:b/>
          <w:color w:val="000000"/>
          <w:szCs w:val="21"/>
          <w:highlight w:val="none"/>
        </w:rPr>
      </w:pPr>
      <w:r>
        <w:rPr>
          <w:rFonts w:hint="eastAsia" w:ascii="宋体" w:hAnsi="宋体" w:cs="宋体"/>
          <w:b/>
          <w:color w:val="000000"/>
          <w:szCs w:val="21"/>
          <w:highlight w:val="none"/>
        </w:rPr>
        <w:t>4）样品评审标准详见本项目招标文件中的</w:t>
      </w:r>
      <w:r>
        <w:rPr>
          <w:rFonts w:hint="eastAsia" w:ascii="宋体" w:hAnsi="宋体" w:cs="宋体"/>
          <w:b/>
          <w:color w:val="000000"/>
          <w:szCs w:val="21"/>
          <w:highlight w:val="none"/>
          <w:lang w:val="en-US" w:eastAsia="zh-CN"/>
        </w:rPr>
        <w:t>综合评分</w:t>
      </w:r>
      <w:r>
        <w:rPr>
          <w:rFonts w:hint="eastAsia" w:ascii="宋体" w:hAnsi="宋体" w:cs="宋体"/>
          <w:b/>
          <w:color w:val="000000"/>
          <w:szCs w:val="21"/>
          <w:highlight w:val="none"/>
        </w:rPr>
        <w:t>表。</w:t>
      </w:r>
    </w:p>
    <w:p w14:paraId="7BE8887A">
      <w:pPr>
        <w:spacing w:line="360" w:lineRule="auto"/>
        <w:outlineLvl w:val="0"/>
        <w:rPr>
          <w:rFonts w:hint="default" w:ascii="楷体" w:hAnsi="楷体" w:eastAsia="楷体"/>
          <w:b/>
          <w:color w:val="000000"/>
          <w:sz w:val="28"/>
          <w:szCs w:val="28"/>
          <w:highlight w:val="none"/>
          <w:lang w:val="en-US" w:eastAsia="zh-CN"/>
        </w:rPr>
      </w:pPr>
    </w:p>
    <w:p w14:paraId="5D531F40">
      <w:pPr>
        <w:spacing w:line="360" w:lineRule="auto"/>
        <w:outlineLvl w:val="0"/>
        <w:rPr>
          <w:rFonts w:ascii="楷体" w:hAnsi="楷体" w:eastAsia="楷体"/>
          <w:b/>
          <w:color w:val="000000"/>
          <w:sz w:val="28"/>
          <w:szCs w:val="28"/>
          <w:highlight w:val="none"/>
        </w:rPr>
      </w:pPr>
    </w:p>
    <w:p w14:paraId="58E2D282">
      <w:pPr>
        <w:spacing w:line="360" w:lineRule="auto"/>
        <w:outlineLvl w:val="0"/>
        <w:rPr>
          <w:rFonts w:ascii="楷体" w:hAnsi="楷体" w:eastAsia="楷体"/>
          <w:b/>
          <w:color w:val="000000"/>
          <w:sz w:val="28"/>
          <w:szCs w:val="28"/>
          <w:highlight w:val="none"/>
        </w:rPr>
      </w:pPr>
    </w:p>
    <w:p w14:paraId="10B2B386">
      <w:pPr>
        <w:numPr>
          <w:ilvl w:val="0"/>
          <w:numId w:val="1"/>
        </w:numPr>
        <w:spacing w:line="360" w:lineRule="auto"/>
        <w:outlineLvl w:val="0"/>
        <w:rPr>
          <w:rFonts w:ascii="楷体" w:hAnsi="楷体" w:eastAsia="楷体"/>
          <w:color w:val="000000"/>
          <w:sz w:val="24"/>
          <w:highlight w:val="none"/>
        </w:rPr>
      </w:pPr>
      <w:bookmarkStart w:id="32" w:name="_Toc18755"/>
      <w:r>
        <w:rPr>
          <w:rFonts w:hint="eastAsia" w:ascii="宋体" w:hAnsi="宋体"/>
          <w:b/>
          <w:color w:val="000000"/>
          <w:sz w:val="28"/>
          <w:szCs w:val="28"/>
          <w:highlight w:val="none"/>
        </w:rPr>
        <w:t>★</w:t>
      </w:r>
      <w:bookmarkEnd w:id="32"/>
      <w:r>
        <w:rPr>
          <w:rFonts w:hint="eastAsia" w:ascii="楷体" w:hAnsi="楷体" w:eastAsia="楷体"/>
          <w:b/>
          <w:color w:val="000000"/>
          <w:sz w:val="28"/>
          <w:szCs w:val="28"/>
          <w:highlight w:val="none"/>
        </w:rPr>
        <w:t>《</w:t>
      </w:r>
      <w:r>
        <w:rPr>
          <w:rFonts w:hint="eastAsia" w:ascii="楷体" w:hAnsi="楷体" w:eastAsia="楷体" w:cs="Times New Roman"/>
          <w:b/>
          <w:bCs w:val="0"/>
          <w:color w:val="000000"/>
          <w:sz w:val="28"/>
          <w:szCs w:val="28"/>
          <w:highlight w:val="none"/>
        </w:rPr>
        <w:t>中山大学肿瘤防治中心膳食供应商月度考核表》</w:t>
      </w:r>
      <w:r>
        <w:rPr>
          <w:rFonts w:hint="eastAsia" w:ascii="楷体" w:hAnsi="楷体" w:eastAsia="楷体"/>
          <w:b/>
          <w:color w:val="000000"/>
          <w:sz w:val="28"/>
          <w:szCs w:val="28"/>
          <w:highlight w:val="none"/>
        </w:rPr>
        <w:t>（注：为★项实质性要求，供应商应响应此考核表，考核周期为当月帐期）</w:t>
      </w:r>
    </w:p>
    <w:p w14:paraId="329DDD8B">
      <w:pPr>
        <w:spacing w:line="360" w:lineRule="auto"/>
        <w:ind w:left="720"/>
        <w:outlineLvl w:val="0"/>
        <w:rPr>
          <w:rFonts w:hint="default" w:ascii="楷体" w:hAnsi="楷体" w:eastAsia="宋体"/>
          <w:color w:val="000000"/>
          <w:szCs w:val="21"/>
          <w:highlight w:val="none"/>
          <w:lang w:val="en-US" w:eastAsia="zh-CN"/>
        </w:rPr>
      </w:pPr>
      <w:r>
        <w:rPr>
          <w:rFonts w:hint="eastAsia" w:ascii="楷体" w:hAnsi="楷体" w:eastAsia="楷体"/>
          <w:color w:val="000000"/>
          <w:szCs w:val="21"/>
          <w:highlight w:val="none"/>
        </w:rPr>
        <w:t>项目名称：2026-2029年膳食物资（餐饮耗材类）</w:t>
      </w:r>
      <w:r>
        <w:rPr>
          <w:rFonts w:hint="eastAsia" w:ascii="楷体" w:hAnsi="楷体" w:eastAsia="楷体"/>
          <w:color w:val="000000"/>
          <w:szCs w:val="21"/>
          <w:highlight w:val="none"/>
          <w:lang w:val="en-US" w:eastAsia="zh-CN"/>
        </w:rPr>
        <w:t>配送服务项目</w:t>
      </w:r>
    </w:p>
    <w:p w14:paraId="6D48EA5F">
      <w:pPr>
        <w:spacing w:line="360" w:lineRule="auto"/>
        <w:ind w:firstLine="840" w:firstLineChars="400"/>
        <w:rPr>
          <w:rFonts w:ascii="楷体" w:hAnsi="楷体" w:eastAsia="楷体"/>
          <w:color w:val="000000"/>
          <w:szCs w:val="21"/>
          <w:highlight w:val="none"/>
        </w:rPr>
      </w:pPr>
      <w:r>
        <w:rPr>
          <w:rFonts w:hint="eastAsia" w:ascii="楷体" w:hAnsi="楷体" w:eastAsia="楷体"/>
          <w:color w:val="000000"/>
          <w:szCs w:val="21"/>
          <w:highlight w:val="none"/>
        </w:rPr>
        <w:t>供应商名称：</w:t>
      </w:r>
    </w:p>
    <w:tbl>
      <w:tblPr>
        <w:tblStyle w:val="49"/>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02"/>
        <w:gridCol w:w="2813"/>
        <w:gridCol w:w="1011"/>
      </w:tblGrid>
      <w:tr w14:paraId="4DBE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906" w:type="dxa"/>
            <w:gridSpan w:val="2"/>
            <w:tcBorders>
              <w:top w:val="single" w:color="auto" w:sz="4" w:space="0"/>
              <w:left w:val="single" w:color="auto" w:sz="4" w:space="0"/>
              <w:bottom w:val="single" w:color="auto" w:sz="4" w:space="0"/>
              <w:right w:val="single" w:color="auto" w:sz="4" w:space="0"/>
            </w:tcBorders>
            <w:vAlign w:val="center"/>
          </w:tcPr>
          <w:p w14:paraId="2154264A">
            <w:pPr>
              <w:spacing w:line="360" w:lineRule="auto"/>
              <w:jc w:val="center"/>
              <w:rPr>
                <w:rFonts w:ascii="楷体" w:hAnsi="楷体" w:eastAsia="楷体" w:cs="宋体"/>
                <w:b/>
                <w:color w:val="000000"/>
                <w:sz w:val="20"/>
                <w:szCs w:val="20"/>
                <w:highlight w:val="none"/>
                <w:lang w:bidi="ar"/>
              </w:rPr>
            </w:pPr>
            <w:bookmarkStart w:id="33" w:name="OLE_LINK51"/>
            <w:bookmarkStart w:id="34" w:name="OLE_LINK50"/>
            <w:r>
              <w:rPr>
                <w:rFonts w:hint="eastAsia" w:ascii="楷体" w:hAnsi="楷体" w:eastAsia="楷体" w:cs="宋体"/>
                <w:b/>
                <w:color w:val="000000"/>
                <w:sz w:val="20"/>
                <w:szCs w:val="20"/>
                <w:highlight w:val="none"/>
                <w:lang w:bidi="ar"/>
              </w:rPr>
              <w:t>考核内容</w:t>
            </w:r>
          </w:p>
        </w:tc>
        <w:tc>
          <w:tcPr>
            <w:tcW w:w="2813" w:type="dxa"/>
            <w:tcBorders>
              <w:top w:val="single" w:color="auto" w:sz="4" w:space="0"/>
              <w:left w:val="single" w:color="auto" w:sz="4" w:space="0"/>
              <w:bottom w:val="single" w:color="auto" w:sz="4" w:space="0"/>
              <w:right w:val="single" w:color="auto" w:sz="4" w:space="0"/>
            </w:tcBorders>
            <w:vAlign w:val="center"/>
          </w:tcPr>
          <w:p w14:paraId="344DAE63">
            <w:pPr>
              <w:spacing w:line="360" w:lineRule="auto"/>
              <w:jc w:val="center"/>
              <w:rPr>
                <w:rFonts w:ascii="楷体" w:hAnsi="楷体" w:eastAsia="楷体" w:cs="宋体"/>
                <w:b/>
                <w:color w:val="000000"/>
                <w:sz w:val="20"/>
                <w:szCs w:val="20"/>
                <w:highlight w:val="none"/>
                <w:lang w:bidi="ar"/>
              </w:rPr>
            </w:pPr>
            <w:r>
              <w:rPr>
                <w:rFonts w:hint="eastAsia" w:ascii="楷体" w:hAnsi="楷体" w:eastAsia="楷体" w:cs="宋体"/>
                <w:b/>
                <w:color w:val="000000"/>
                <w:sz w:val="20"/>
                <w:szCs w:val="20"/>
                <w:highlight w:val="none"/>
                <w:lang w:bidi="ar"/>
              </w:rPr>
              <w:t>分值（扣分项目上不封顶）</w:t>
            </w:r>
          </w:p>
        </w:tc>
        <w:tc>
          <w:tcPr>
            <w:tcW w:w="1011" w:type="dxa"/>
            <w:tcBorders>
              <w:top w:val="single" w:color="auto" w:sz="4" w:space="0"/>
              <w:left w:val="single" w:color="auto" w:sz="4" w:space="0"/>
              <w:bottom w:val="single" w:color="auto" w:sz="4" w:space="0"/>
              <w:right w:val="single" w:color="auto" w:sz="4" w:space="0"/>
            </w:tcBorders>
            <w:vAlign w:val="center"/>
          </w:tcPr>
          <w:p w14:paraId="2327ED13">
            <w:pPr>
              <w:spacing w:line="360" w:lineRule="auto"/>
              <w:jc w:val="center"/>
              <w:rPr>
                <w:rFonts w:ascii="楷体" w:hAnsi="楷体" w:eastAsia="楷体" w:cs="宋体"/>
                <w:b/>
                <w:color w:val="000000"/>
                <w:sz w:val="20"/>
                <w:szCs w:val="20"/>
                <w:highlight w:val="none"/>
                <w:lang w:bidi="ar"/>
              </w:rPr>
            </w:pPr>
            <w:r>
              <w:rPr>
                <w:rFonts w:hint="eastAsia" w:ascii="楷体" w:hAnsi="楷体" w:eastAsia="楷体" w:cs="宋体"/>
                <w:b/>
                <w:color w:val="000000"/>
                <w:sz w:val="20"/>
                <w:szCs w:val="20"/>
                <w:highlight w:val="none"/>
                <w:lang w:bidi="ar"/>
              </w:rPr>
              <w:t>扣分</w:t>
            </w:r>
          </w:p>
        </w:tc>
      </w:tr>
      <w:tr w14:paraId="7E67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restart"/>
            <w:tcBorders>
              <w:top w:val="single" w:color="auto" w:sz="4" w:space="0"/>
              <w:left w:val="single" w:color="auto" w:sz="4" w:space="0"/>
              <w:right w:val="single" w:color="auto" w:sz="4" w:space="0"/>
            </w:tcBorders>
            <w:vAlign w:val="center"/>
          </w:tcPr>
          <w:p w14:paraId="28313103">
            <w:pPr>
              <w:spacing w:line="360" w:lineRule="auto"/>
              <w:jc w:val="center"/>
              <w:rPr>
                <w:rFonts w:ascii="宋体" w:hAnsi="宋体" w:cs="宋体"/>
                <w:color w:val="000000"/>
                <w:sz w:val="20"/>
                <w:szCs w:val="20"/>
                <w:highlight w:val="none"/>
              </w:rPr>
            </w:pPr>
            <w:r>
              <w:rPr>
                <w:rFonts w:hint="eastAsia" w:ascii="宋体" w:hAnsi="宋体" w:cs="宋体"/>
                <w:color w:val="000000"/>
                <w:sz w:val="20"/>
                <w:szCs w:val="20"/>
                <w:highlight w:val="none"/>
              </w:rPr>
              <w:t>服务要求</w:t>
            </w:r>
          </w:p>
        </w:tc>
        <w:tc>
          <w:tcPr>
            <w:tcW w:w="4202" w:type="dxa"/>
            <w:tcBorders>
              <w:top w:val="single" w:color="auto" w:sz="4" w:space="0"/>
              <w:left w:val="single" w:color="auto" w:sz="4" w:space="0"/>
              <w:bottom w:val="single" w:color="auto" w:sz="4" w:space="0"/>
              <w:right w:val="single" w:color="auto" w:sz="4" w:space="0"/>
            </w:tcBorders>
          </w:tcPr>
          <w:p w14:paraId="02320C4C">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中标人按采购人规定的配送时间（由采购人通知）将订单货物送达收货地点。</w:t>
            </w:r>
          </w:p>
          <w:p w14:paraId="550E68AB">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若因中标人无法按时送达（不可抗力</w:t>
            </w:r>
            <w:r>
              <w:rPr>
                <w:rFonts w:hint="eastAsia" w:ascii="楷体" w:hAnsi="楷体" w:eastAsia="楷体" w:cs="宋体"/>
                <w:color w:val="000000"/>
                <w:szCs w:val="21"/>
                <w:highlight w:val="none"/>
                <w:lang w:val="en-US" w:eastAsia="zh-CN"/>
              </w:rPr>
              <w:t>因素</w:t>
            </w:r>
            <w:r>
              <w:rPr>
                <w:rFonts w:hint="eastAsia" w:ascii="楷体" w:hAnsi="楷体" w:eastAsia="楷体" w:cs="宋体"/>
                <w:color w:val="000000"/>
                <w:szCs w:val="21"/>
                <w:highlight w:val="none"/>
              </w:rPr>
              <w:t>除外），按考核表扣分，采购人有权自行采购（中标人需要实报实销发生的相关费用），所发生经济损失由中标人负责</w:t>
            </w:r>
            <w:r>
              <w:rPr>
                <w:rFonts w:hint="eastAsia" w:ascii="楷体" w:hAnsi="楷体" w:eastAsia="楷体" w:cs="宋体"/>
                <w:color w:val="000000"/>
                <w:szCs w:val="21"/>
                <w:highlight w:val="none"/>
                <w:lang w:eastAsia="zh-CN"/>
              </w:rPr>
              <w:t>，</w:t>
            </w:r>
            <w:r>
              <w:rPr>
                <w:rFonts w:hint="eastAsia" w:ascii="楷体" w:hAnsi="楷体" w:eastAsia="楷体" w:cs="宋体"/>
                <w:color w:val="000000"/>
                <w:szCs w:val="21"/>
                <w:highlight w:val="none"/>
              </w:rPr>
              <w:t>所发生经济损失由中标人负责。</w:t>
            </w:r>
          </w:p>
          <w:p w14:paraId="24D256A5">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对采购人临时的供货要求（每个院区每月原则上不超过8次），中标人需随订随送，并在4小时（不含）内送达收货地点。</w:t>
            </w:r>
            <w:r>
              <w:rPr>
                <w:rFonts w:hint="eastAsia" w:ascii="楷体" w:hAnsi="楷体" w:eastAsia="楷体" w:cs="仿宋"/>
                <w:bCs/>
                <w:szCs w:val="21"/>
                <w:highlight w:val="none"/>
              </w:rPr>
              <w:t>不符合采购人要求的产品，采购人拒收后，中标人须</w:t>
            </w:r>
            <w:r>
              <w:rPr>
                <w:rFonts w:ascii="楷体" w:hAnsi="楷体" w:eastAsia="楷体" w:cs="仿宋"/>
                <w:bCs/>
                <w:szCs w:val="21"/>
                <w:highlight w:val="none"/>
              </w:rPr>
              <w:t>2</w:t>
            </w:r>
            <w:r>
              <w:rPr>
                <w:rFonts w:hint="eastAsia" w:ascii="楷体" w:hAnsi="楷体" w:eastAsia="楷体" w:cs="仿宋"/>
                <w:bCs/>
                <w:szCs w:val="21"/>
                <w:highlight w:val="none"/>
              </w:rPr>
              <w:t>小时内（不含）重新补送</w:t>
            </w:r>
            <w:r>
              <w:rPr>
                <w:rFonts w:hint="eastAsia" w:ascii="楷体" w:hAnsi="楷体" w:eastAsia="楷体" w:cs="仿宋"/>
                <w:bCs/>
                <w:szCs w:val="21"/>
                <w:highlight w:val="none"/>
                <w:lang w:eastAsia="zh-CN"/>
              </w:rPr>
              <w:t>。</w:t>
            </w:r>
            <w:r>
              <w:rPr>
                <w:rFonts w:hint="eastAsia" w:ascii="楷体" w:hAnsi="楷体" w:eastAsia="楷体" w:cs="宋体"/>
                <w:color w:val="000000"/>
                <w:szCs w:val="21"/>
                <w:highlight w:val="none"/>
              </w:rPr>
              <w:t>原则上不允许临时采购未定价的产品，如供应商未经采购人的膳食管理岗同意仍供货，采购人有权不支付该批次产品货款。</w:t>
            </w:r>
          </w:p>
        </w:tc>
        <w:tc>
          <w:tcPr>
            <w:tcW w:w="2813" w:type="dxa"/>
            <w:tcBorders>
              <w:top w:val="single" w:color="auto" w:sz="4" w:space="0"/>
              <w:left w:val="single" w:color="auto" w:sz="4" w:space="0"/>
              <w:bottom w:val="single" w:color="auto" w:sz="4" w:space="0"/>
              <w:right w:val="single" w:color="auto" w:sz="4" w:space="0"/>
            </w:tcBorders>
          </w:tcPr>
          <w:p w14:paraId="3452BF59">
            <w:pPr>
              <w:spacing w:line="360" w:lineRule="auto"/>
              <w:ind w:firstLine="420" w:firstLineChars="200"/>
              <w:jc w:val="left"/>
              <w:rPr>
                <w:rFonts w:ascii="楷体" w:hAnsi="楷体" w:eastAsia="楷体" w:cs="宋体"/>
                <w:color w:val="000000"/>
                <w:szCs w:val="21"/>
                <w:highlight w:val="none"/>
                <w:lang w:bidi="ar"/>
              </w:rPr>
            </w:pPr>
          </w:p>
          <w:p w14:paraId="65839724">
            <w:pPr>
              <w:spacing w:line="360" w:lineRule="auto"/>
              <w:ind w:firstLine="420" w:firstLineChars="200"/>
              <w:jc w:val="left"/>
              <w:rPr>
                <w:rFonts w:ascii="楷体" w:hAnsi="楷体" w:eastAsia="楷体" w:cs="宋体"/>
                <w:color w:val="000000"/>
                <w:szCs w:val="21"/>
                <w:highlight w:val="none"/>
                <w:lang w:bidi="ar"/>
              </w:rPr>
            </w:pPr>
          </w:p>
          <w:p w14:paraId="044A29CE">
            <w:pPr>
              <w:spacing w:line="360" w:lineRule="auto"/>
              <w:ind w:firstLine="420" w:firstLineChars="200"/>
              <w:jc w:val="left"/>
              <w:rPr>
                <w:rFonts w:ascii="楷体" w:hAnsi="楷体" w:eastAsia="楷体" w:cs="宋体"/>
                <w:color w:val="000000"/>
                <w:szCs w:val="21"/>
                <w:highlight w:val="none"/>
                <w:lang w:bidi="ar"/>
              </w:rPr>
            </w:pPr>
          </w:p>
          <w:p w14:paraId="2C3282A1">
            <w:pPr>
              <w:spacing w:line="360" w:lineRule="auto"/>
              <w:ind w:firstLine="420" w:firstLineChars="200"/>
              <w:jc w:val="left"/>
              <w:rPr>
                <w:rFonts w:ascii="楷体" w:hAnsi="楷体" w:eastAsia="楷体" w:cs="宋体"/>
                <w:color w:val="000000"/>
                <w:szCs w:val="21"/>
                <w:highlight w:val="none"/>
                <w:lang w:bidi="ar"/>
              </w:rPr>
            </w:pPr>
          </w:p>
          <w:p w14:paraId="28CA1635">
            <w:pPr>
              <w:spacing w:line="360" w:lineRule="auto"/>
              <w:ind w:firstLine="420" w:firstLineChars="200"/>
              <w:jc w:val="left"/>
              <w:rPr>
                <w:rFonts w:ascii="楷体" w:hAnsi="楷体" w:eastAsia="楷体" w:cs="宋体"/>
                <w:color w:val="000000"/>
                <w:szCs w:val="21"/>
                <w:highlight w:val="none"/>
                <w:lang w:bidi="ar"/>
              </w:rPr>
            </w:pPr>
          </w:p>
          <w:p w14:paraId="6BC2C02D">
            <w:pPr>
              <w:spacing w:line="360" w:lineRule="auto"/>
              <w:ind w:firstLine="420" w:firstLineChars="200"/>
              <w:jc w:val="left"/>
              <w:rPr>
                <w:rFonts w:ascii="楷体" w:hAnsi="楷体" w:eastAsia="楷体" w:cs="宋体"/>
                <w:color w:val="000000"/>
                <w:szCs w:val="21"/>
                <w:highlight w:val="none"/>
                <w:lang w:bidi="ar"/>
              </w:rPr>
            </w:pPr>
            <w:r>
              <w:rPr>
                <w:rFonts w:hint="eastAsia" w:ascii="楷体" w:hAnsi="楷体" w:eastAsia="楷体" w:cs="宋体"/>
                <w:color w:val="000000"/>
                <w:szCs w:val="21"/>
                <w:highlight w:val="none"/>
                <w:lang w:bidi="ar"/>
              </w:rPr>
              <w:t>无法按时送达（不可抗力除外）每次扣10分。</w:t>
            </w:r>
          </w:p>
        </w:tc>
        <w:tc>
          <w:tcPr>
            <w:tcW w:w="1011" w:type="dxa"/>
            <w:tcBorders>
              <w:top w:val="single" w:color="auto" w:sz="4" w:space="0"/>
              <w:left w:val="single" w:color="auto" w:sz="4" w:space="0"/>
              <w:bottom w:val="single" w:color="auto" w:sz="4" w:space="0"/>
              <w:right w:val="single" w:color="auto" w:sz="4" w:space="0"/>
            </w:tcBorders>
            <w:vAlign w:val="center"/>
          </w:tcPr>
          <w:p w14:paraId="29535EC8">
            <w:pPr>
              <w:spacing w:line="360" w:lineRule="auto"/>
              <w:rPr>
                <w:rFonts w:ascii="宋体" w:hAnsi="宋体" w:cs="宋体"/>
                <w:color w:val="000000"/>
                <w:sz w:val="20"/>
                <w:szCs w:val="20"/>
                <w:highlight w:val="none"/>
              </w:rPr>
            </w:pPr>
          </w:p>
        </w:tc>
      </w:tr>
      <w:tr w14:paraId="17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746780CF">
            <w:pPr>
              <w:spacing w:line="360" w:lineRule="auto"/>
              <w:jc w:val="center"/>
              <w:rPr>
                <w:rFonts w:ascii="宋体" w:hAnsi="宋体" w:cs="宋体"/>
                <w:color w:val="000000"/>
                <w:sz w:val="20"/>
                <w:szCs w:val="20"/>
                <w:highlight w:val="none"/>
              </w:rPr>
            </w:pPr>
          </w:p>
        </w:tc>
        <w:tc>
          <w:tcPr>
            <w:tcW w:w="4202" w:type="dxa"/>
            <w:tcBorders>
              <w:top w:val="single" w:color="auto" w:sz="4" w:space="0"/>
              <w:left w:val="single" w:color="auto" w:sz="4" w:space="0"/>
              <w:bottom w:val="single" w:color="auto" w:sz="4" w:space="0"/>
              <w:right w:val="single" w:color="auto" w:sz="4" w:space="0"/>
            </w:tcBorders>
          </w:tcPr>
          <w:p w14:paraId="41C5706C">
            <w:pPr>
              <w:spacing w:line="360" w:lineRule="auto"/>
              <w:ind w:firstLine="420" w:firstLineChars="200"/>
              <w:rPr>
                <w:rFonts w:ascii="楷体" w:hAnsi="楷体" w:eastAsia="楷体" w:cs="宋体"/>
                <w:color w:val="000000"/>
                <w:szCs w:val="21"/>
                <w:highlight w:val="none"/>
                <w:lang w:bidi="ar"/>
              </w:rPr>
            </w:pPr>
            <w:r>
              <w:rPr>
                <w:rFonts w:hint="eastAsia" w:ascii="楷体" w:hAnsi="楷体" w:eastAsia="楷体" w:cs="宋体"/>
                <w:color w:val="000000"/>
                <w:szCs w:val="21"/>
                <w:highlight w:val="none"/>
                <w:lang w:bidi="ar"/>
              </w:rPr>
              <w:t>中标人须保障产品数量及质量，如发现品短斤缺两，或品种、品牌（如有）、规格型号、价格、质量等未达到合同要求的，采购人拒收，并责令其在2小时（不含）内重新送货，所发生费用由中标人负责。</w:t>
            </w:r>
          </w:p>
        </w:tc>
        <w:tc>
          <w:tcPr>
            <w:tcW w:w="2813" w:type="dxa"/>
            <w:tcBorders>
              <w:top w:val="single" w:color="auto" w:sz="4" w:space="0"/>
              <w:left w:val="single" w:color="auto" w:sz="4" w:space="0"/>
              <w:bottom w:val="single" w:color="auto" w:sz="4" w:space="0"/>
              <w:right w:val="single" w:color="auto" w:sz="4" w:space="0"/>
            </w:tcBorders>
          </w:tcPr>
          <w:p w14:paraId="4E76B660">
            <w:pPr>
              <w:spacing w:line="360" w:lineRule="auto"/>
              <w:ind w:firstLine="420" w:firstLineChars="200"/>
              <w:jc w:val="left"/>
              <w:rPr>
                <w:rFonts w:ascii="楷体" w:hAnsi="楷体" w:eastAsia="楷体" w:cs="宋体"/>
                <w:color w:val="000000"/>
                <w:szCs w:val="21"/>
                <w:highlight w:val="none"/>
              </w:rPr>
            </w:pPr>
            <w:r>
              <w:rPr>
                <w:rFonts w:hint="eastAsia" w:ascii="楷体" w:hAnsi="楷体" w:eastAsia="楷体" w:cs="宋体"/>
                <w:color w:val="000000"/>
                <w:szCs w:val="21"/>
                <w:highlight w:val="none"/>
              </w:rPr>
              <w:t>产品短斤缺两，或品种、品牌（如有）、规格型号、价格等不符合要求，每发生一次扣10分。</w:t>
            </w:r>
          </w:p>
          <w:p w14:paraId="3B3F643B">
            <w:pPr>
              <w:spacing w:line="360" w:lineRule="auto"/>
              <w:ind w:firstLine="420" w:firstLineChars="200"/>
              <w:jc w:val="left"/>
              <w:rPr>
                <w:rFonts w:hint="eastAsia" w:ascii="楷体" w:hAnsi="楷体" w:eastAsia="楷体" w:cs="宋体"/>
                <w:color w:val="000000"/>
                <w:szCs w:val="21"/>
                <w:highlight w:val="none"/>
              </w:rPr>
            </w:pPr>
            <w:r>
              <w:rPr>
                <w:rFonts w:hint="eastAsia" w:ascii="楷体" w:hAnsi="楷体" w:eastAsia="楷体" w:cs="宋体"/>
                <w:color w:val="000000"/>
                <w:szCs w:val="21"/>
                <w:highlight w:val="none"/>
              </w:rPr>
              <w:t>质量等未达到合同要求的（包括但不限于“四、食品安全及产品质量要求”中“</w:t>
            </w:r>
            <w:r>
              <w:rPr>
                <w:rFonts w:hint="eastAsia" w:ascii="楷体" w:hAnsi="楷体" w:eastAsia="楷体" w:cs="宋体"/>
                <w:color w:val="000000"/>
                <w:szCs w:val="21"/>
                <w:highlight w:val="none"/>
                <w:lang w:val="en-US" w:eastAsia="zh-CN"/>
              </w:rPr>
              <w:t>10</w:t>
            </w:r>
            <w:r>
              <w:rPr>
                <w:rFonts w:hint="eastAsia" w:ascii="楷体" w:hAnsi="楷体" w:eastAsia="楷体" w:cs="宋体"/>
                <w:color w:val="000000"/>
                <w:szCs w:val="21"/>
                <w:highlight w:val="none"/>
              </w:rPr>
              <w:t>.产品具体要求”），每发生一次扣10分。</w:t>
            </w:r>
          </w:p>
          <w:p w14:paraId="11EB58D5">
            <w:pPr>
              <w:spacing w:line="360" w:lineRule="auto"/>
              <w:ind w:firstLine="420" w:firstLineChars="200"/>
              <w:jc w:val="left"/>
              <w:rPr>
                <w:rFonts w:hint="eastAsia" w:ascii="楷体" w:hAnsi="楷体" w:eastAsia="楷体" w:cs="宋体"/>
                <w:color w:val="000000"/>
                <w:szCs w:val="21"/>
                <w:highlight w:val="none"/>
              </w:rPr>
            </w:pPr>
            <w:r>
              <w:rPr>
                <w:rFonts w:hint="eastAsia" w:ascii="楷体" w:hAnsi="楷体" w:eastAsia="楷体" w:cs="楷体"/>
                <w:sz w:val="21"/>
                <w:szCs w:val="21"/>
                <w:highlight w:val="none"/>
              </w:rPr>
              <w:t>无法按时重新送货，每次再扣10分。</w:t>
            </w:r>
          </w:p>
        </w:tc>
        <w:tc>
          <w:tcPr>
            <w:tcW w:w="1011" w:type="dxa"/>
            <w:tcBorders>
              <w:top w:val="single" w:color="auto" w:sz="4" w:space="0"/>
              <w:left w:val="single" w:color="auto" w:sz="4" w:space="0"/>
              <w:bottom w:val="single" w:color="auto" w:sz="4" w:space="0"/>
              <w:right w:val="single" w:color="auto" w:sz="4" w:space="0"/>
            </w:tcBorders>
            <w:vAlign w:val="center"/>
          </w:tcPr>
          <w:p w14:paraId="09F4FFBB">
            <w:pPr>
              <w:spacing w:line="360" w:lineRule="auto"/>
              <w:rPr>
                <w:rFonts w:ascii="宋体" w:hAnsi="宋体" w:cs="宋体"/>
                <w:color w:val="000000"/>
                <w:sz w:val="20"/>
                <w:szCs w:val="20"/>
                <w:highlight w:val="none"/>
              </w:rPr>
            </w:pPr>
          </w:p>
        </w:tc>
      </w:tr>
      <w:tr w14:paraId="06F4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78F9C2EC">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20B7D6F7">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中标人提供的产品若存在“假冒伪劣”或严重质量问题（如：变质、发霉、有异味</w:t>
            </w:r>
            <w:r>
              <w:rPr>
                <w:rFonts w:hint="eastAsia" w:ascii="楷体" w:hAnsi="楷体" w:eastAsia="楷体" w:cs="宋体"/>
                <w:color w:val="000000"/>
                <w:szCs w:val="21"/>
                <w:highlight w:val="none"/>
                <w:lang w:eastAsia="zh-CN"/>
              </w:rPr>
              <w:t>、</w:t>
            </w:r>
            <w:r>
              <w:rPr>
                <w:rFonts w:hint="eastAsia" w:ascii="楷体" w:hAnsi="楷体" w:eastAsia="楷体" w:cs="宋体"/>
                <w:color w:val="000000"/>
                <w:szCs w:val="21"/>
                <w:highlight w:val="none"/>
                <w:lang w:val="en-US" w:eastAsia="zh-CN"/>
              </w:rPr>
              <w:t>破损</w:t>
            </w:r>
            <w:r>
              <w:rPr>
                <w:rFonts w:hint="eastAsia" w:ascii="楷体" w:hAnsi="楷体" w:eastAsia="楷体" w:cs="宋体"/>
                <w:color w:val="000000"/>
                <w:szCs w:val="21"/>
                <w:highlight w:val="none"/>
              </w:rPr>
              <w:t>等现象），采购人将拒收，中标人必须在2小时（不含）内重新送货。</w:t>
            </w:r>
          </w:p>
        </w:tc>
        <w:tc>
          <w:tcPr>
            <w:tcW w:w="2813" w:type="dxa"/>
            <w:tcBorders>
              <w:top w:val="single" w:color="auto" w:sz="4" w:space="0"/>
              <w:left w:val="single" w:color="auto" w:sz="4" w:space="0"/>
              <w:bottom w:val="single" w:color="auto" w:sz="4" w:space="0"/>
              <w:right w:val="single" w:color="auto" w:sz="4" w:space="0"/>
            </w:tcBorders>
          </w:tcPr>
          <w:p w14:paraId="47BE85B1">
            <w:pPr>
              <w:spacing w:line="360" w:lineRule="auto"/>
              <w:ind w:firstLine="420" w:firstLineChars="200"/>
              <w:rPr>
                <w:rFonts w:hint="eastAsia" w:ascii="楷体" w:hAnsi="楷体" w:eastAsia="楷体" w:cs="宋体"/>
                <w:color w:val="000000"/>
                <w:szCs w:val="21"/>
                <w:highlight w:val="none"/>
              </w:rPr>
            </w:pPr>
            <w:r>
              <w:rPr>
                <w:rFonts w:hint="eastAsia" w:ascii="楷体" w:hAnsi="楷体" w:eastAsia="楷体" w:cs="宋体"/>
                <w:color w:val="000000"/>
                <w:szCs w:val="21"/>
                <w:highlight w:val="none"/>
              </w:rPr>
              <w:t>“假冒伪劣”或严重质量问题，每发生一次扣20分。</w:t>
            </w:r>
          </w:p>
          <w:p w14:paraId="3F9858D7">
            <w:pPr>
              <w:spacing w:line="360" w:lineRule="auto"/>
              <w:ind w:firstLine="420" w:firstLineChars="200"/>
              <w:rPr>
                <w:rFonts w:hint="eastAsia" w:ascii="楷体" w:hAnsi="楷体" w:eastAsia="楷体" w:cs="宋体"/>
                <w:color w:val="000000"/>
                <w:szCs w:val="21"/>
                <w:highlight w:val="none"/>
              </w:rPr>
            </w:pPr>
            <w:r>
              <w:rPr>
                <w:rFonts w:hint="eastAsia" w:ascii="楷体" w:hAnsi="楷体" w:eastAsia="楷体" w:cs="楷体"/>
                <w:sz w:val="21"/>
                <w:szCs w:val="21"/>
                <w:highlight w:val="none"/>
              </w:rPr>
              <w:t>无法按时重新送货，每次再扣10分。</w:t>
            </w:r>
          </w:p>
        </w:tc>
        <w:tc>
          <w:tcPr>
            <w:tcW w:w="1011" w:type="dxa"/>
            <w:tcBorders>
              <w:top w:val="single" w:color="auto" w:sz="4" w:space="0"/>
              <w:left w:val="single" w:color="auto" w:sz="4" w:space="0"/>
              <w:bottom w:val="single" w:color="auto" w:sz="4" w:space="0"/>
              <w:right w:val="single" w:color="auto" w:sz="4" w:space="0"/>
            </w:tcBorders>
            <w:vAlign w:val="center"/>
          </w:tcPr>
          <w:p w14:paraId="731BA779">
            <w:pPr>
              <w:spacing w:line="360" w:lineRule="auto"/>
              <w:rPr>
                <w:rFonts w:ascii="宋体" w:hAnsi="宋体" w:cs="宋体"/>
                <w:color w:val="000000"/>
                <w:sz w:val="20"/>
                <w:szCs w:val="20"/>
                <w:highlight w:val="none"/>
              </w:rPr>
            </w:pPr>
          </w:p>
        </w:tc>
      </w:tr>
      <w:tr w14:paraId="2265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74BADA51">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6BEF4C60">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中标人不得擅自变更投标产品的品种、品牌、包装、规格等，严格按采购人的要求供应，否则采购人拒收，由此所产生的费用由中标人负责。如因产品升级、停产、缺货无法供货等市场流通问题确实需要变更包装、规格、变更为升级/换代产品等，中标人应事先提出书面申请（须附厂家官方网站公布或厂家、经销商说明函等资料），并经采购人同意后才能变更，且供货单价为对应品种的中标单价，供货单价在合同期间不变。变更产品应符合国家与行业标准，其质量、材质、规格、技术参数、食品安全标准、环保要求、使用性能和适用场景应保持或优于原投标产品及采购文件要求。</w:t>
            </w:r>
          </w:p>
        </w:tc>
        <w:tc>
          <w:tcPr>
            <w:tcW w:w="2813" w:type="dxa"/>
            <w:tcBorders>
              <w:top w:val="single" w:color="auto" w:sz="4" w:space="0"/>
              <w:left w:val="single" w:color="auto" w:sz="4" w:space="0"/>
              <w:bottom w:val="single" w:color="auto" w:sz="4" w:space="0"/>
              <w:right w:val="single" w:color="auto" w:sz="4" w:space="0"/>
            </w:tcBorders>
          </w:tcPr>
          <w:p w14:paraId="5651FC9B">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 xml:space="preserve">    不符合要求，每发生一次扣10分。</w:t>
            </w:r>
          </w:p>
        </w:tc>
        <w:tc>
          <w:tcPr>
            <w:tcW w:w="1011" w:type="dxa"/>
            <w:tcBorders>
              <w:top w:val="single" w:color="auto" w:sz="4" w:space="0"/>
              <w:left w:val="single" w:color="auto" w:sz="4" w:space="0"/>
              <w:bottom w:val="single" w:color="auto" w:sz="4" w:space="0"/>
              <w:right w:val="single" w:color="auto" w:sz="4" w:space="0"/>
            </w:tcBorders>
            <w:vAlign w:val="center"/>
          </w:tcPr>
          <w:p w14:paraId="2254985B">
            <w:pPr>
              <w:spacing w:line="360" w:lineRule="auto"/>
              <w:rPr>
                <w:rFonts w:ascii="宋体" w:hAnsi="宋体" w:cs="宋体"/>
                <w:color w:val="000000"/>
                <w:sz w:val="20"/>
                <w:szCs w:val="20"/>
                <w:highlight w:val="none"/>
              </w:rPr>
            </w:pPr>
          </w:p>
        </w:tc>
      </w:tr>
      <w:tr w14:paraId="4385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32415415">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0F437742">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 xml:space="preserve"> 运输容器：要求清洁、干燥、牢固、透气、无污染、无异味等问题，每个品种单独盛装。根据产品的性质做好防湿、防锈、防潮、防雨、防腐及防碰撞的措施。不得使用泡沫箱、金属丝、生熟混装，必须按《中华人民共和国食品安全法》的相关规定执行。凡由于包装不良造成的损失和由此产生的费用均由中标人承担</w:t>
            </w:r>
            <w:r>
              <w:rPr>
                <w:rFonts w:hint="eastAsia" w:ascii="楷体" w:hAnsi="楷体" w:eastAsia="楷体" w:cs="宋体"/>
                <w:color w:val="000000"/>
                <w:szCs w:val="21"/>
                <w:highlight w:val="none"/>
                <w:lang w:eastAsia="zh-CN"/>
              </w:rPr>
              <w:t>。</w:t>
            </w:r>
          </w:p>
        </w:tc>
        <w:tc>
          <w:tcPr>
            <w:tcW w:w="2813" w:type="dxa"/>
            <w:tcBorders>
              <w:top w:val="single" w:color="auto" w:sz="4" w:space="0"/>
              <w:left w:val="single" w:color="auto" w:sz="4" w:space="0"/>
              <w:bottom w:val="single" w:color="auto" w:sz="4" w:space="0"/>
              <w:right w:val="single" w:color="auto" w:sz="4" w:space="0"/>
            </w:tcBorders>
          </w:tcPr>
          <w:p w14:paraId="2A42D959">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不符合要求，每发生一次扣5分。</w:t>
            </w:r>
          </w:p>
        </w:tc>
        <w:tc>
          <w:tcPr>
            <w:tcW w:w="1011" w:type="dxa"/>
            <w:tcBorders>
              <w:top w:val="single" w:color="auto" w:sz="4" w:space="0"/>
              <w:left w:val="single" w:color="auto" w:sz="4" w:space="0"/>
              <w:bottom w:val="single" w:color="auto" w:sz="4" w:space="0"/>
              <w:right w:val="single" w:color="auto" w:sz="4" w:space="0"/>
            </w:tcBorders>
            <w:vAlign w:val="center"/>
          </w:tcPr>
          <w:p w14:paraId="6198F1EA">
            <w:pPr>
              <w:spacing w:line="360" w:lineRule="auto"/>
              <w:rPr>
                <w:rFonts w:ascii="宋体" w:hAnsi="宋体" w:cs="宋体"/>
                <w:color w:val="000000"/>
                <w:sz w:val="20"/>
                <w:szCs w:val="20"/>
                <w:highlight w:val="none"/>
              </w:rPr>
            </w:pPr>
          </w:p>
        </w:tc>
      </w:tr>
      <w:tr w14:paraId="5EA5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72EECA84">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4DDC3159">
            <w:pPr>
              <w:shd w:val="clear" w:color="auto" w:fill="FFFFFF"/>
              <w:snapToGrid w:val="0"/>
              <w:spacing w:line="360" w:lineRule="auto"/>
              <w:ind w:firstLine="420" w:firstLineChars="200"/>
              <w:jc w:val="left"/>
              <w:rPr>
                <w:rFonts w:ascii="楷体" w:hAnsi="楷体" w:eastAsia="楷体" w:cs="宋体"/>
                <w:color w:val="000000"/>
                <w:szCs w:val="21"/>
                <w:highlight w:val="none"/>
              </w:rPr>
            </w:pPr>
            <w:r>
              <w:rPr>
                <w:rFonts w:hint="eastAsia" w:ascii="楷体" w:hAnsi="楷体" w:eastAsia="楷体" w:cs="宋体"/>
                <w:color w:val="000000"/>
                <w:szCs w:val="21"/>
                <w:highlight w:val="none"/>
              </w:rPr>
              <w:t>运输载具：</w:t>
            </w:r>
            <w:r>
              <w:rPr>
                <w:rFonts w:hint="eastAsia" w:ascii="楷体" w:hAnsi="楷体" w:eastAsia="楷体" w:cs="仿宋"/>
                <w:bCs/>
                <w:szCs w:val="21"/>
                <w:highlight w:val="none"/>
              </w:rPr>
              <w:t>须符合《中华人民共和国食品安全法》的相关规定。</w:t>
            </w:r>
            <w:r>
              <w:rPr>
                <w:rFonts w:hint="eastAsia" w:ascii="楷体" w:hAnsi="楷体" w:eastAsia="楷体" w:cs="宋体"/>
                <w:color w:val="000000"/>
                <w:szCs w:val="21"/>
                <w:highlight w:val="none"/>
              </w:rPr>
              <w:t>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w:t>
            </w:r>
          </w:p>
          <w:p w14:paraId="135E05DE">
            <w:pPr>
              <w:shd w:val="clear" w:color="auto" w:fill="FFFFFF"/>
              <w:snapToGrid w:val="0"/>
              <w:spacing w:line="360" w:lineRule="auto"/>
              <w:ind w:firstLine="0" w:firstLineChars="0"/>
              <w:jc w:val="left"/>
              <w:rPr>
                <w:rFonts w:ascii="楷体" w:hAnsi="楷体" w:eastAsia="楷体" w:cs="宋体"/>
                <w:color w:val="000000"/>
                <w:szCs w:val="21"/>
                <w:highlight w:val="none"/>
              </w:rPr>
            </w:pPr>
          </w:p>
        </w:tc>
        <w:tc>
          <w:tcPr>
            <w:tcW w:w="2813" w:type="dxa"/>
            <w:tcBorders>
              <w:top w:val="single" w:color="auto" w:sz="4" w:space="0"/>
              <w:left w:val="single" w:color="auto" w:sz="4" w:space="0"/>
              <w:bottom w:val="single" w:color="auto" w:sz="4" w:space="0"/>
              <w:right w:val="single" w:color="auto" w:sz="4" w:space="0"/>
            </w:tcBorders>
          </w:tcPr>
          <w:p w14:paraId="1913C3A8">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不符合要求，每发生一次扣5分。</w:t>
            </w:r>
          </w:p>
        </w:tc>
        <w:tc>
          <w:tcPr>
            <w:tcW w:w="1011" w:type="dxa"/>
            <w:tcBorders>
              <w:top w:val="single" w:color="auto" w:sz="4" w:space="0"/>
              <w:left w:val="single" w:color="auto" w:sz="4" w:space="0"/>
              <w:bottom w:val="single" w:color="auto" w:sz="4" w:space="0"/>
              <w:right w:val="single" w:color="auto" w:sz="4" w:space="0"/>
            </w:tcBorders>
            <w:vAlign w:val="center"/>
          </w:tcPr>
          <w:p w14:paraId="2645CBBD">
            <w:pPr>
              <w:spacing w:line="360" w:lineRule="auto"/>
              <w:rPr>
                <w:rFonts w:ascii="宋体" w:hAnsi="宋体" w:cs="宋体"/>
                <w:color w:val="000000"/>
                <w:sz w:val="20"/>
                <w:szCs w:val="20"/>
                <w:highlight w:val="none"/>
              </w:rPr>
            </w:pPr>
          </w:p>
        </w:tc>
      </w:tr>
      <w:tr w14:paraId="3ED1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1D4E4A6D">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4AF79376">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中标人应充分做好工作人员的培训、教育工作，严格遵守采购人的各项规定。中标人指派的配送人员，持有效的健康证</w:t>
            </w:r>
            <w:r>
              <w:rPr>
                <w:rFonts w:hint="eastAsia" w:ascii="楷体" w:hAnsi="楷体" w:eastAsia="楷体" w:cs="宋体"/>
                <w:color w:val="000000"/>
                <w:szCs w:val="21"/>
                <w:highlight w:val="none"/>
                <w:lang w:val="en-US" w:eastAsia="zh-CN"/>
              </w:rPr>
              <w:t>明</w:t>
            </w:r>
            <w:r>
              <w:rPr>
                <w:rFonts w:hint="eastAsia" w:ascii="楷体" w:hAnsi="楷体" w:eastAsia="楷体" w:cs="宋体"/>
                <w:color w:val="000000"/>
                <w:szCs w:val="21"/>
                <w:highlight w:val="none"/>
              </w:rPr>
              <w:t>、穿着便于辨认的工衣和配戴胸卡。配送人员遵纪守法、品行良好，在采购人院内活动严格遵守医院各项规章制度，不得做出有损采购人形象和利益的事情。中标人工作人员应服务态度好，工作认真负责。如在工作中失误给采购人造成损失，中标人应承担责任并赔偿损失；赔偿金额可从当月款</w:t>
            </w:r>
            <w:r>
              <w:rPr>
                <w:rFonts w:hint="eastAsia" w:ascii="楷体" w:hAnsi="楷体" w:eastAsia="楷体" w:cs="宋体"/>
                <w:color w:val="000000"/>
                <w:szCs w:val="21"/>
                <w:highlight w:val="none"/>
                <w:lang w:val="en-US" w:eastAsia="zh-CN"/>
              </w:rPr>
              <w:t>项</w:t>
            </w:r>
            <w:r>
              <w:rPr>
                <w:rFonts w:hint="eastAsia" w:ascii="楷体" w:hAnsi="楷体" w:eastAsia="楷体" w:cs="宋体"/>
                <w:color w:val="000000"/>
                <w:szCs w:val="21"/>
                <w:highlight w:val="none"/>
              </w:rPr>
              <w:t>中扣减；</w:t>
            </w:r>
          </w:p>
        </w:tc>
        <w:tc>
          <w:tcPr>
            <w:tcW w:w="2813" w:type="dxa"/>
            <w:tcBorders>
              <w:top w:val="single" w:color="auto" w:sz="4" w:space="0"/>
              <w:left w:val="single" w:color="auto" w:sz="4" w:space="0"/>
              <w:bottom w:val="single" w:color="auto" w:sz="4" w:space="0"/>
              <w:right w:val="single" w:color="auto" w:sz="4" w:space="0"/>
            </w:tcBorders>
          </w:tcPr>
          <w:p w14:paraId="16E0E119">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不符合要求，每发生一次扣5分。</w:t>
            </w:r>
          </w:p>
        </w:tc>
        <w:tc>
          <w:tcPr>
            <w:tcW w:w="1011" w:type="dxa"/>
            <w:tcBorders>
              <w:top w:val="single" w:color="auto" w:sz="4" w:space="0"/>
              <w:left w:val="single" w:color="auto" w:sz="4" w:space="0"/>
              <w:bottom w:val="single" w:color="auto" w:sz="4" w:space="0"/>
              <w:right w:val="single" w:color="auto" w:sz="4" w:space="0"/>
            </w:tcBorders>
            <w:vAlign w:val="center"/>
          </w:tcPr>
          <w:p w14:paraId="4C283DA5">
            <w:pPr>
              <w:spacing w:line="360" w:lineRule="auto"/>
              <w:rPr>
                <w:rFonts w:ascii="宋体" w:hAnsi="宋体" w:cs="宋体"/>
                <w:color w:val="000000"/>
                <w:sz w:val="20"/>
                <w:szCs w:val="20"/>
                <w:highlight w:val="none"/>
              </w:rPr>
            </w:pPr>
          </w:p>
        </w:tc>
      </w:tr>
      <w:tr w14:paraId="4EEB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0EE53A99">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0B05C784">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中标人应积极配合采购人相关业务，包括但不限于收到采购人通知后3个工作日内提供报价单、</w:t>
            </w:r>
            <w:r>
              <w:rPr>
                <w:rFonts w:hint="eastAsia" w:ascii="楷体" w:hAnsi="楷体" w:eastAsia="楷体" w:cs="宋体"/>
                <w:color w:val="000000"/>
                <w:szCs w:val="21"/>
                <w:highlight w:val="green"/>
              </w:rPr>
              <w:t>询价价格确认表、</w:t>
            </w:r>
            <w:r>
              <w:rPr>
                <w:rFonts w:hint="eastAsia" w:ascii="楷体" w:hAnsi="楷体" w:eastAsia="楷体" w:cs="宋体"/>
                <w:color w:val="000000"/>
                <w:szCs w:val="21"/>
                <w:highlight w:val="none"/>
              </w:rPr>
              <w:t>送货单、盖章的考核表、询价价格确认表（采购人与中标人双方就采购清单外产品完成询价后，由中标人盖章确认供货单价的书面凭证）、发票等情况。</w:t>
            </w:r>
          </w:p>
        </w:tc>
        <w:tc>
          <w:tcPr>
            <w:tcW w:w="2813" w:type="dxa"/>
            <w:tcBorders>
              <w:top w:val="single" w:color="auto" w:sz="4" w:space="0"/>
              <w:left w:val="single" w:color="auto" w:sz="4" w:space="0"/>
              <w:bottom w:val="single" w:color="auto" w:sz="4" w:space="0"/>
              <w:right w:val="single" w:color="auto" w:sz="4" w:space="0"/>
            </w:tcBorders>
          </w:tcPr>
          <w:p w14:paraId="77C3D4D0">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不符合要求，每发生一次扣5分。</w:t>
            </w:r>
          </w:p>
        </w:tc>
        <w:tc>
          <w:tcPr>
            <w:tcW w:w="1011" w:type="dxa"/>
            <w:tcBorders>
              <w:top w:val="single" w:color="auto" w:sz="4" w:space="0"/>
              <w:left w:val="single" w:color="auto" w:sz="4" w:space="0"/>
              <w:bottom w:val="single" w:color="auto" w:sz="4" w:space="0"/>
              <w:right w:val="single" w:color="auto" w:sz="4" w:space="0"/>
            </w:tcBorders>
            <w:vAlign w:val="center"/>
          </w:tcPr>
          <w:p w14:paraId="2EC822CE">
            <w:pPr>
              <w:spacing w:line="360" w:lineRule="auto"/>
              <w:rPr>
                <w:rFonts w:ascii="宋体" w:hAnsi="宋体" w:cs="宋体"/>
                <w:color w:val="000000"/>
                <w:sz w:val="20"/>
                <w:szCs w:val="20"/>
                <w:highlight w:val="none"/>
              </w:rPr>
            </w:pPr>
          </w:p>
        </w:tc>
      </w:tr>
      <w:tr w14:paraId="48C9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4DF1F26C">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55EDEB21">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中标人向采购人提供的所有发票均真实、合法、有效的，如提供虚假发票须按虚假发票金额2倍向采购人支付违约金，赔偿采购人因此产生的全部损失，采购人有权立即终止合同，并追究中标人违约责任。</w:t>
            </w:r>
          </w:p>
        </w:tc>
        <w:tc>
          <w:tcPr>
            <w:tcW w:w="2813" w:type="dxa"/>
            <w:tcBorders>
              <w:top w:val="single" w:color="auto" w:sz="4" w:space="0"/>
              <w:left w:val="single" w:color="auto" w:sz="4" w:space="0"/>
              <w:bottom w:val="single" w:color="auto" w:sz="4" w:space="0"/>
              <w:right w:val="single" w:color="auto" w:sz="4" w:space="0"/>
            </w:tcBorders>
          </w:tcPr>
          <w:p w14:paraId="23623F49">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如提供虚假发票，每发生一次扣40分。</w:t>
            </w:r>
          </w:p>
        </w:tc>
        <w:tc>
          <w:tcPr>
            <w:tcW w:w="1011" w:type="dxa"/>
            <w:tcBorders>
              <w:top w:val="single" w:color="auto" w:sz="4" w:space="0"/>
              <w:left w:val="single" w:color="auto" w:sz="4" w:space="0"/>
              <w:bottom w:val="single" w:color="auto" w:sz="4" w:space="0"/>
              <w:right w:val="single" w:color="auto" w:sz="4" w:space="0"/>
            </w:tcBorders>
            <w:vAlign w:val="center"/>
          </w:tcPr>
          <w:p w14:paraId="0B229563">
            <w:pPr>
              <w:spacing w:line="360" w:lineRule="auto"/>
              <w:rPr>
                <w:rFonts w:ascii="宋体" w:hAnsi="宋体" w:cs="宋体"/>
                <w:color w:val="000000"/>
                <w:sz w:val="20"/>
                <w:szCs w:val="20"/>
                <w:highlight w:val="none"/>
              </w:rPr>
            </w:pPr>
          </w:p>
        </w:tc>
      </w:tr>
      <w:tr w14:paraId="75EC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79AB3918">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38BA3D83">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ab/>
            </w:r>
            <w:r>
              <w:rPr>
                <w:rFonts w:hint="eastAsia" w:ascii="楷体" w:hAnsi="楷体" w:eastAsia="楷体" w:cs="宋体"/>
                <w:color w:val="000000"/>
                <w:szCs w:val="21"/>
                <w:highlight w:val="none"/>
              </w:rPr>
              <w:t>中标人管理人员或项目负责人能积极主动与采购人接洽，倾听采购人意见，追踪产品和服务质量，能根据采购人提出的建议调整服务实施方案，随时解决各类问题，每月随访1次或以上（方式不限），并提供月度书面随访记录表反馈给采购人。</w:t>
            </w:r>
          </w:p>
        </w:tc>
        <w:tc>
          <w:tcPr>
            <w:tcW w:w="2813" w:type="dxa"/>
            <w:tcBorders>
              <w:top w:val="single" w:color="auto" w:sz="4" w:space="0"/>
              <w:left w:val="single" w:color="auto" w:sz="4" w:space="0"/>
              <w:bottom w:val="single" w:color="auto" w:sz="4" w:space="0"/>
              <w:right w:val="single" w:color="auto" w:sz="4" w:space="0"/>
            </w:tcBorders>
          </w:tcPr>
          <w:p w14:paraId="5BD6A4BA">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不符合要求，每发生一次扣10分。</w:t>
            </w:r>
          </w:p>
        </w:tc>
        <w:tc>
          <w:tcPr>
            <w:tcW w:w="1011" w:type="dxa"/>
            <w:tcBorders>
              <w:top w:val="single" w:color="auto" w:sz="4" w:space="0"/>
              <w:left w:val="single" w:color="auto" w:sz="4" w:space="0"/>
              <w:bottom w:val="single" w:color="auto" w:sz="4" w:space="0"/>
              <w:right w:val="single" w:color="auto" w:sz="4" w:space="0"/>
            </w:tcBorders>
            <w:vAlign w:val="center"/>
          </w:tcPr>
          <w:p w14:paraId="547A611D">
            <w:pPr>
              <w:spacing w:line="360" w:lineRule="auto"/>
              <w:rPr>
                <w:rFonts w:ascii="宋体" w:hAnsi="宋体" w:cs="宋体"/>
                <w:color w:val="000000"/>
                <w:sz w:val="20"/>
                <w:szCs w:val="20"/>
                <w:highlight w:val="none"/>
              </w:rPr>
            </w:pPr>
          </w:p>
        </w:tc>
      </w:tr>
      <w:tr w14:paraId="2088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0DAFA290">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25FC2BFB">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供货过程中发生情况时，中标人管理层积极沟通及解决问题。出现货物质量问题时，中标人的项目管理人员在4小时（不含）内到达现场处理。</w:t>
            </w:r>
          </w:p>
        </w:tc>
        <w:tc>
          <w:tcPr>
            <w:tcW w:w="2813" w:type="dxa"/>
            <w:tcBorders>
              <w:top w:val="single" w:color="auto" w:sz="4" w:space="0"/>
              <w:left w:val="single" w:color="auto" w:sz="4" w:space="0"/>
              <w:bottom w:val="single" w:color="auto" w:sz="4" w:space="0"/>
              <w:right w:val="single" w:color="auto" w:sz="4" w:space="0"/>
            </w:tcBorders>
          </w:tcPr>
          <w:p w14:paraId="56300277">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不符合要求，每发生一次扣5分。</w:t>
            </w:r>
          </w:p>
        </w:tc>
        <w:tc>
          <w:tcPr>
            <w:tcW w:w="1011" w:type="dxa"/>
            <w:tcBorders>
              <w:top w:val="single" w:color="auto" w:sz="4" w:space="0"/>
              <w:left w:val="single" w:color="auto" w:sz="4" w:space="0"/>
              <w:bottom w:val="single" w:color="auto" w:sz="4" w:space="0"/>
              <w:right w:val="single" w:color="auto" w:sz="4" w:space="0"/>
            </w:tcBorders>
            <w:vAlign w:val="center"/>
          </w:tcPr>
          <w:p w14:paraId="0ADB779C">
            <w:pPr>
              <w:spacing w:line="360" w:lineRule="auto"/>
              <w:rPr>
                <w:rFonts w:ascii="宋体" w:hAnsi="宋体" w:cs="宋体"/>
                <w:color w:val="000000"/>
                <w:sz w:val="20"/>
                <w:szCs w:val="20"/>
                <w:highlight w:val="none"/>
              </w:rPr>
            </w:pPr>
          </w:p>
        </w:tc>
      </w:tr>
      <w:tr w14:paraId="34B2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287694CC">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68372049">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中标人必须配合采购人突发事件（疫情防控、极端天气、大面积停电等）的应急配送工作。</w:t>
            </w:r>
          </w:p>
        </w:tc>
        <w:tc>
          <w:tcPr>
            <w:tcW w:w="2813" w:type="dxa"/>
            <w:tcBorders>
              <w:top w:val="single" w:color="auto" w:sz="4" w:space="0"/>
              <w:left w:val="single" w:color="auto" w:sz="4" w:space="0"/>
              <w:bottom w:val="single" w:color="auto" w:sz="4" w:space="0"/>
              <w:right w:val="single" w:color="auto" w:sz="4" w:space="0"/>
            </w:tcBorders>
          </w:tcPr>
          <w:p w14:paraId="25DE89FB">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不符合要求，每发生一次扣40分。</w:t>
            </w:r>
          </w:p>
        </w:tc>
        <w:tc>
          <w:tcPr>
            <w:tcW w:w="1011" w:type="dxa"/>
            <w:tcBorders>
              <w:top w:val="single" w:color="auto" w:sz="4" w:space="0"/>
              <w:left w:val="single" w:color="auto" w:sz="4" w:space="0"/>
              <w:bottom w:val="single" w:color="auto" w:sz="4" w:space="0"/>
              <w:right w:val="single" w:color="auto" w:sz="4" w:space="0"/>
            </w:tcBorders>
            <w:vAlign w:val="center"/>
          </w:tcPr>
          <w:p w14:paraId="65602684">
            <w:pPr>
              <w:spacing w:line="360" w:lineRule="auto"/>
              <w:rPr>
                <w:rFonts w:ascii="宋体" w:hAnsi="宋体" w:cs="宋体"/>
                <w:color w:val="000000"/>
                <w:sz w:val="20"/>
                <w:szCs w:val="20"/>
                <w:highlight w:val="none"/>
              </w:rPr>
            </w:pPr>
          </w:p>
        </w:tc>
      </w:tr>
      <w:tr w14:paraId="3DD8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403D64F7">
            <w:pPr>
              <w:spacing w:line="360" w:lineRule="auto"/>
              <w:jc w:val="center"/>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0E572D87">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由于产品原料质量问题而引起的中毒或肠道病等事故事件，经有关单位鉴定原因后，如确实为中标人产品问题，中标人承担所有的费用（包括但不限于医药费）以及相应的民事或刑事责任。中标人造成安全（监管和食品卫生）事故的，采购人有权单方面终止合同，由此产生的一切经济损失由中标人自行承担。</w:t>
            </w:r>
          </w:p>
        </w:tc>
        <w:tc>
          <w:tcPr>
            <w:tcW w:w="2813" w:type="dxa"/>
            <w:tcBorders>
              <w:top w:val="single" w:color="auto" w:sz="4" w:space="0"/>
              <w:left w:val="single" w:color="auto" w:sz="4" w:space="0"/>
              <w:bottom w:val="single" w:color="auto" w:sz="4" w:space="0"/>
              <w:right w:val="single" w:color="auto" w:sz="4" w:space="0"/>
            </w:tcBorders>
          </w:tcPr>
          <w:p w14:paraId="417A46B2">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每发生一次扣40分。</w:t>
            </w:r>
          </w:p>
        </w:tc>
        <w:tc>
          <w:tcPr>
            <w:tcW w:w="1011" w:type="dxa"/>
            <w:tcBorders>
              <w:top w:val="single" w:color="auto" w:sz="4" w:space="0"/>
              <w:left w:val="single" w:color="auto" w:sz="4" w:space="0"/>
              <w:bottom w:val="single" w:color="auto" w:sz="4" w:space="0"/>
              <w:right w:val="single" w:color="auto" w:sz="4" w:space="0"/>
            </w:tcBorders>
            <w:vAlign w:val="center"/>
          </w:tcPr>
          <w:p w14:paraId="0AF6EC6A">
            <w:pPr>
              <w:spacing w:line="360" w:lineRule="auto"/>
              <w:rPr>
                <w:rFonts w:ascii="宋体" w:hAnsi="宋体" w:cs="宋体"/>
                <w:color w:val="000000"/>
                <w:sz w:val="20"/>
                <w:szCs w:val="20"/>
                <w:highlight w:val="none"/>
              </w:rPr>
            </w:pPr>
          </w:p>
        </w:tc>
      </w:tr>
      <w:tr w14:paraId="4ADD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restart"/>
            <w:tcBorders>
              <w:top w:val="single" w:color="auto" w:sz="4" w:space="0"/>
              <w:left w:val="single" w:color="auto" w:sz="4" w:space="0"/>
              <w:right w:val="single" w:color="auto" w:sz="4" w:space="0"/>
            </w:tcBorders>
            <w:vAlign w:val="center"/>
          </w:tcPr>
          <w:p w14:paraId="2FC816F8">
            <w:pPr>
              <w:spacing w:line="360" w:lineRule="auto"/>
              <w:jc w:val="center"/>
              <w:rPr>
                <w:rFonts w:ascii="宋体" w:hAnsi="宋体" w:cs="宋体"/>
                <w:color w:val="000000"/>
                <w:sz w:val="20"/>
                <w:szCs w:val="20"/>
                <w:highlight w:val="none"/>
                <w:lang w:bidi="ar"/>
              </w:rPr>
            </w:pPr>
            <w:r>
              <w:rPr>
                <w:rFonts w:hint="eastAsia" w:ascii="宋体" w:hAnsi="宋体" w:cs="宋体"/>
                <w:color w:val="000000"/>
                <w:sz w:val="20"/>
                <w:szCs w:val="20"/>
                <w:highlight w:val="none"/>
                <w:lang w:bidi="ar"/>
              </w:rPr>
              <w:t>食品安全及产品质量要求</w:t>
            </w:r>
          </w:p>
        </w:tc>
        <w:tc>
          <w:tcPr>
            <w:tcW w:w="4202" w:type="dxa"/>
            <w:tcBorders>
              <w:top w:val="single" w:color="auto" w:sz="4" w:space="0"/>
              <w:left w:val="single" w:color="auto" w:sz="4" w:space="0"/>
              <w:bottom w:val="single" w:color="auto" w:sz="4" w:space="0"/>
              <w:right w:val="single" w:color="auto" w:sz="4" w:space="0"/>
            </w:tcBorders>
          </w:tcPr>
          <w:p w14:paraId="2A25F439">
            <w:pPr>
              <w:shd w:val="clear" w:color="auto" w:fill="FFFFFF"/>
              <w:snapToGrid w:val="0"/>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中标人所供应的所有货物指标要符合国家强制性标准要求。所投标的所有产品必须符合《中华人民共和国食品安全法》的相关规定</w:t>
            </w:r>
            <w:r>
              <w:rPr>
                <w:rFonts w:hint="eastAsia" w:ascii="楷体" w:hAnsi="楷体" w:eastAsia="楷体" w:cs="宋体"/>
                <w:color w:val="000000"/>
                <w:szCs w:val="21"/>
                <w:highlight w:val="none"/>
                <w:lang w:eastAsia="zh-CN"/>
              </w:rPr>
              <w:t>，</w:t>
            </w:r>
            <w:r>
              <w:rPr>
                <w:rFonts w:hint="eastAsia" w:ascii="楷体" w:hAnsi="楷体" w:eastAsia="楷体" w:cs="宋体"/>
                <w:color w:val="000000"/>
                <w:szCs w:val="21"/>
                <w:highlight w:val="none"/>
                <w:lang w:val="en-US" w:eastAsia="zh-CN"/>
              </w:rPr>
              <w:t>符合</w:t>
            </w:r>
            <w:r>
              <w:rPr>
                <w:rFonts w:hint="eastAsia" w:ascii="楷体" w:hAnsi="楷体" w:eastAsia="楷体" w:cs="宋体"/>
                <w:color w:val="000000"/>
                <w:szCs w:val="21"/>
                <w:highlight w:val="none"/>
              </w:rPr>
              <w:t>对应产品的国家、行业相关的质量要求，须保证提供的产品为合法生产、销售、渠道正规、全新（无损、无污、无皱）产品。</w:t>
            </w:r>
          </w:p>
        </w:tc>
        <w:tc>
          <w:tcPr>
            <w:tcW w:w="2813" w:type="dxa"/>
            <w:tcBorders>
              <w:top w:val="single" w:color="auto" w:sz="4" w:space="0"/>
              <w:left w:val="single" w:color="auto" w:sz="4" w:space="0"/>
              <w:bottom w:val="single" w:color="auto" w:sz="4" w:space="0"/>
              <w:right w:val="single" w:color="auto" w:sz="4" w:space="0"/>
            </w:tcBorders>
          </w:tcPr>
          <w:p w14:paraId="0D16F72B">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不符合要求，每发生一次扣20分。</w:t>
            </w:r>
          </w:p>
        </w:tc>
        <w:tc>
          <w:tcPr>
            <w:tcW w:w="1011" w:type="dxa"/>
            <w:tcBorders>
              <w:top w:val="single" w:color="auto" w:sz="4" w:space="0"/>
              <w:left w:val="single" w:color="auto" w:sz="4" w:space="0"/>
              <w:bottom w:val="single" w:color="auto" w:sz="4" w:space="0"/>
              <w:right w:val="single" w:color="auto" w:sz="4" w:space="0"/>
            </w:tcBorders>
            <w:vAlign w:val="center"/>
          </w:tcPr>
          <w:p w14:paraId="4514D289">
            <w:pPr>
              <w:spacing w:line="360" w:lineRule="auto"/>
              <w:rPr>
                <w:rFonts w:ascii="宋体" w:hAnsi="宋体" w:cs="宋体"/>
                <w:color w:val="000000"/>
                <w:sz w:val="20"/>
                <w:szCs w:val="20"/>
                <w:highlight w:val="none"/>
              </w:rPr>
            </w:pPr>
          </w:p>
        </w:tc>
      </w:tr>
      <w:tr w14:paraId="3442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3489174B">
            <w:pPr>
              <w:spacing w:line="360" w:lineRule="auto"/>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0A4F6F64">
            <w:pPr>
              <w:shd w:val="clear" w:color="auto" w:fill="FFFFFF"/>
              <w:snapToGrid w:val="0"/>
              <w:spacing w:line="360" w:lineRule="auto"/>
              <w:ind w:firstLine="420" w:firstLineChars="200"/>
              <w:jc w:val="left"/>
              <w:rPr>
                <w:rFonts w:ascii="楷体" w:hAnsi="楷体" w:eastAsia="楷体" w:cs="宋体"/>
                <w:color w:val="000000"/>
                <w:szCs w:val="21"/>
                <w:highlight w:val="none"/>
              </w:rPr>
            </w:pPr>
            <w:r>
              <w:rPr>
                <w:rFonts w:hint="eastAsia" w:ascii="楷体" w:hAnsi="楷体" w:eastAsia="楷体" w:cs="宋体"/>
                <w:color w:val="000000"/>
                <w:szCs w:val="21"/>
                <w:highlight w:val="none"/>
              </w:rPr>
              <w:t>保质期内非因采购人的人为原因而出现产品质量问题，由中标人负责包换或包退，并承担因此而产生的一切费用。</w:t>
            </w:r>
          </w:p>
        </w:tc>
        <w:tc>
          <w:tcPr>
            <w:tcW w:w="2813" w:type="dxa"/>
            <w:tcBorders>
              <w:top w:val="single" w:color="auto" w:sz="4" w:space="0"/>
              <w:left w:val="single" w:color="auto" w:sz="4" w:space="0"/>
              <w:bottom w:val="single" w:color="auto" w:sz="4" w:space="0"/>
              <w:right w:val="single" w:color="auto" w:sz="4" w:space="0"/>
            </w:tcBorders>
          </w:tcPr>
          <w:p w14:paraId="24710C52">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不符合要求，每发生一次扣5分。</w:t>
            </w:r>
          </w:p>
        </w:tc>
        <w:tc>
          <w:tcPr>
            <w:tcW w:w="1011" w:type="dxa"/>
            <w:tcBorders>
              <w:top w:val="single" w:color="auto" w:sz="4" w:space="0"/>
              <w:left w:val="single" w:color="auto" w:sz="4" w:space="0"/>
              <w:bottom w:val="single" w:color="auto" w:sz="4" w:space="0"/>
              <w:right w:val="single" w:color="auto" w:sz="4" w:space="0"/>
            </w:tcBorders>
            <w:vAlign w:val="center"/>
          </w:tcPr>
          <w:p w14:paraId="1FF27A16">
            <w:pPr>
              <w:spacing w:line="360" w:lineRule="auto"/>
              <w:rPr>
                <w:rFonts w:ascii="宋体" w:hAnsi="宋体" w:cs="宋体"/>
                <w:color w:val="000000"/>
                <w:sz w:val="20"/>
                <w:szCs w:val="20"/>
                <w:highlight w:val="none"/>
              </w:rPr>
            </w:pPr>
          </w:p>
        </w:tc>
      </w:tr>
      <w:tr w14:paraId="3566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7139035F">
            <w:pPr>
              <w:spacing w:line="360" w:lineRule="auto"/>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334352BE">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中标人负责供应产品的质量检测工作，所产生的费用由中标人负责。采购人有权不定期委托有资质的质检部门对中标人供应的产品进行检测。如检测结果不达标的，费用由中标人负责，并在中标人无法提供合理解析的情况下，</w:t>
            </w:r>
            <w:r>
              <w:rPr>
                <w:rFonts w:hint="eastAsia" w:ascii="楷体" w:hAnsi="楷体" w:eastAsia="楷体" w:cs="宋体"/>
                <w:color w:val="000000"/>
                <w:szCs w:val="21"/>
                <w:highlight w:val="green"/>
              </w:rPr>
              <w:t>扣除当天的供货款作为罚金</w:t>
            </w:r>
            <w:r>
              <w:rPr>
                <w:rFonts w:hint="eastAsia" w:ascii="楷体" w:hAnsi="楷体" w:eastAsia="楷体" w:cs="宋体"/>
                <w:color w:val="000000"/>
                <w:szCs w:val="21"/>
                <w:highlight w:val="none"/>
              </w:rPr>
              <w:t>。同时，采购人有权追讨由此而引起的责任。合同期内累计检测不合格两次的，采购人有权终止合同，由此引发的所有损失由中标人负责。</w:t>
            </w:r>
          </w:p>
        </w:tc>
        <w:tc>
          <w:tcPr>
            <w:tcW w:w="2813" w:type="dxa"/>
            <w:tcBorders>
              <w:top w:val="single" w:color="auto" w:sz="4" w:space="0"/>
              <w:left w:val="single" w:color="auto" w:sz="4" w:space="0"/>
              <w:bottom w:val="single" w:color="auto" w:sz="4" w:space="0"/>
              <w:right w:val="single" w:color="auto" w:sz="4" w:space="0"/>
            </w:tcBorders>
          </w:tcPr>
          <w:p w14:paraId="38CA06FC">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不符合要求，每发生一次扣40分。</w:t>
            </w:r>
          </w:p>
        </w:tc>
        <w:tc>
          <w:tcPr>
            <w:tcW w:w="1011" w:type="dxa"/>
            <w:tcBorders>
              <w:top w:val="single" w:color="auto" w:sz="4" w:space="0"/>
              <w:left w:val="single" w:color="auto" w:sz="4" w:space="0"/>
              <w:bottom w:val="single" w:color="auto" w:sz="4" w:space="0"/>
              <w:right w:val="single" w:color="auto" w:sz="4" w:space="0"/>
            </w:tcBorders>
            <w:vAlign w:val="center"/>
          </w:tcPr>
          <w:p w14:paraId="397AC1B9">
            <w:pPr>
              <w:spacing w:line="360" w:lineRule="auto"/>
              <w:rPr>
                <w:rFonts w:ascii="宋体" w:hAnsi="宋体" w:cs="宋体"/>
                <w:color w:val="000000"/>
                <w:sz w:val="20"/>
                <w:szCs w:val="20"/>
                <w:highlight w:val="none"/>
              </w:rPr>
            </w:pPr>
          </w:p>
        </w:tc>
      </w:tr>
      <w:tr w14:paraId="311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3BC7F8B6">
            <w:pPr>
              <w:spacing w:line="360" w:lineRule="auto"/>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019D2262">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有效期：中标人应保证所供产品其剩余有效期不得少于标注有效期的70%（自采购人验收之日起计算）。如有效期少于标注有效期的70%，采购人要求中标人配合相应产品的更换工作，</w:t>
            </w:r>
            <w:bookmarkStart w:id="35" w:name="_Hlk230271868"/>
            <w:r>
              <w:rPr>
                <w:rFonts w:hint="eastAsia" w:ascii="楷体" w:hAnsi="楷体" w:eastAsia="楷体" w:cs="宋体"/>
                <w:color w:val="000000"/>
                <w:szCs w:val="21"/>
                <w:highlight w:val="none"/>
              </w:rPr>
              <w:t>如发现不符合要求，但仍在保质期内，采购人有权拒收，并责令其在4小时（不含）内重新送货，</w:t>
            </w:r>
            <w:bookmarkEnd w:id="35"/>
            <w:r>
              <w:rPr>
                <w:rFonts w:hint="eastAsia" w:ascii="楷体" w:hAnsi="楷体" w:eastAsia="楷体" w:cs="宋体"/>
                <w:color w:val="000000"/>
                <w:szCs w:val="21"/>
                <w:highlight w:val="none"/>
              </w:rPr>
              <w:t>所产生的费用由中标人负责。</w:t>
            </w:r>
          </w:p>
        </w:tc>
        <w:tc>
          <w:tcPr>
            <w:tcW w:w="2813" w:type="dxa"/>
            <w:tcBorders>
              <w:top w:val="single" w:color="auto" w:sz="4" w:space="0"/>
              <w:left w:val="single" w:color="auto" w:sz="4" w:space="0"/>
              <w:bottom w:val="single" w:color="auto" w:sz="4" w:space="0"/>
              <w:right w:val="single" w:color="auto" w:sz="4" w:space="0"/>
            </w:tcBorders>
          </w:tcPr>
          <w:p w14:paraId="043CA8ED">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有效期少于标注有效期的70%，每发生一次扣5分。</w:t>
            </w:r>
          </w:p>
          <w:p w14:paraId="26293CBB">
            <w:pPr>
              <w:spacing w:line="360" w:lineRule="auto"/>
              <w:rPr>
                <w:rFonts w:ascii="楷体" w:hAnsi="楷体" w:eastAsia="楷体" w:cs="宋体"/>
                <w:color w:val="000000"/>
                <w:szCs w:val="21"/>
                <w:highlight w:val="none"/>
              </w:rPr>
            </w:pPr>
            <w:r>
              <w:rPr>
                <w:rFonts w:hint="eastAsia" w:ascii="楷体" w:hAnsi="楷体" w:eastAsia="楷体" w:cs="宋体"/>
                <w:color w:val="000000"/>
                <w:szCs w:val="21"/>
                <w:highlight w:val="none"/>
              </w:rPr>
              <w:t xml:space="preserve">    产品有效期过期，每发生一次扣10分。</w:t>
            </w:r>
          </w:p>
        </w:tc>
        <w:tc>
          <w:tcPr>
            <w:tcW w:w="1011" w:type="dxa"/>
            <w:tcBorders>
              <w:top w:val="single" w:color="auto" w:sz="4" w:space="0"/>
              <w:left w:val="single" w:color="auto" w:sz="4" w:space="0"/>
              <w:bottom w:val="single" w:color="auto" w:sz="4" w:space="0"/>
              <w:right w:val="single" w:color="auto" w:sz="4" w:space="0"/>
            </w:tcBorders>
            <w:vAlign w:val="center"/>
          </w:tcPr>
          <w:p w14:paraId="170B8C7D">
            <w:pPr>
              <w:spacing w:line="360" w:lineRule="auto"/>
              <w:rPr>
                <w:rFonts w:ascii="宋体" w:hAnsi="宋体" w:cs="宋体"/>
                <w:color w:val="000000"/>
                <w:sz w:val="20"/>
                <w:szCs w:val="20"/>
                <w:highlight w:val="none"/>
              </w:rPr>
            </w:pPr>
          </w:p>
        </w:tc>
      </w:tr>
      <w:tr w14:paraId="0DC9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right w:val="single" w:color="auto" w:sz="4" w:space="0"/>
            </w:tcBorders>
            <w:vAlign w:val="center"/>
          </w:tcPr>
          <w:p w14:paraId="33CEF764">
            <w:pPr>
              <w:spacing w:line="360" w:lineRule="auto"/>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25F580F2">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lang w:val="en-US" w:eastAsia="zh-CN"/>
              </w:rPr>
              <w:t>包装</w:t>
            </w:r>
            <w:r>
              <w:rPr>
                <w:rFonts w:hint="eastAsia" w:ascii="楷体" w:hAnsi="楷体" w:eastAsia="楷体" w:cs="宋体"/>
                <w:color w:val="000000"/>
                <w:szCs w:val="21"/>
                <w:highlight w:val="none"/>
              </w:rPr>
              <w:t>产品应由正规厂家生产，符合相关法律法规及行业规定，包装严实不漏，印有厂家、委托加工商（如有）、生产日期、保质期（有效期）等信息。</w:t>
            </w:r>
          </w:p>
        </w:tc>
        <w:tc>
          <w:tcPr>
            <w:tcW w:w="2813" w:type="dxa"/>
            <w:tcBorders>
              <w:top w:val="single" w:color="auto" w:sz="4" w:space="0"/>
              <w:left w:val="single" w:color="auto" w:sz="4" w:space="0"/>
              <w:bottom w:val="single" w:color="auto" w:sz="4" w:space="0"/>
              <w:right w:val="single" w:color="auto" w:sz="4" w:space="0"/>
            </w:tcBorders>
          </w:tcPr>
          <w:p w14:paraId="56609C4A">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不符合要求，每发生一次扣10分。</w:t>
            </w:r>
          </w:p>
        </w:tc>
        <w:tc>
          <w:tcPr>
            <w:tcW w:w="1011" w:type="dxa"/>
            <w:tcBorders>
              <w:top w:val="single" w:color="auto" w:sz="4" w:space="0"/>
              <w:left w:val="single" w:color="auto" w:sz="4" w:space="0"/>
              <w:bottom w:val="single" w:color="auto" w:sz="4" w:space="0"/>
              <w:right w:val="single" w:color="auto" w:sz="4" w:space="0"/>
            </w:tcBorders>
            <w:vAlign w:val="center"/>
          </w:tcPr>
          <w:p w14:paraId="5358B94E">
            <w:pPr>
              <w:spacing w:line="360" w:lineRule="auto"/>
              <w:rPr>
                <w:rFonts w:ascii="宋体" w:hAnsi="宋体" w:cs="宋体"/>
                <w:color w:val="000000"/>
                <w:sz w:val="20"/>
                <w:szCs w:val="20"/>
                <w:highlight w:val="none"/>
              </w:rPr>
            </w:pPr>
          </w:p>
        </w:tc>
      </w:tr>
      <w:tr w14:paraId="4DBF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vMerge w:val="continue"/>
            <w:tcBorders>
              <w:left w:val="single" w:color="auto" w:sz="4" w:space="0"/>
              <w:bottom w:val="single" w:color="auto" w:sz="4" w:space="0"/>
              <w:right w:val="single" w:color="auto" w:sz="4" w:space="0"/>
            </w:tcBorders>
            <w:vAlign w:val="center"/>
          </w:tcPr>
          <w:p w14:paraId="13136C5B">
            <w:pPr>
              <w:spacing w:line="360" w:lineRule="auto"/>
              <w:rPr>
                <w:rFonts w:ascii="宋体" w:hAnsi="宋体" w:cs="宋体"/>
                <w:color w:val="000000"/>
                <w:sz w:val="20"/>
                <w:szCs w:val="20"/>
                <w:highlight w:val="none"/>
                <w:lang w:bidi="ar"/>
              </w:rPr>
            </w:pPr>
          </w:p>
        </w:tc>
        <w:tc>
          <w:tcPr>
            <w:tcW w:w="4202" w:type="dxa"/>
            <w:tcBorders>
              <w:top w:val="single" w:color="auto" w:sz="4" w:space="0"/>
              <w:left w:val="single" w:color="auto" w:sz="4" w:space="0"/>
              <w:bottom w:val="single" w:color="auto" w:sz="4" w:space="0"/>
              <w:right w:val="single" w:color="auto" w:sz="4" w:space="0"/>
            </w:tcBorders>
          </w:tcPr>
          <w:p w14:paraId="6B308D83">
            <w:pPr>
              <w:spacing w:line="360" w:lineRule="auto"/>
              <w:ind w:firstLine="0" w:firstLineChars="0"/>
              <w:rPr>
                <w:rFonts w:ascii="楷体" w:hAnsi="楷体" w:eastAsia="楷体" w:cs="宋体"/>
                <w:color w:val="000000"/>
                <w:szCs w:val="21"/>
                <w:highlight w:val="none"/>
              </w:rPr>
            </w:pPr>
            <w:r>
              <w:rPr>
                <w:rFonts w:hint="eastAsia" w:ascii="楷体" w:hAnsi="楷体" w:eastAsia="楷体" w:cs="宋体"/>
                <w:color w:val="000000"/>
                <w:szCs w:val="21"/>
                <w:highlight w:val="none"/>
              </w:rPr>
              <w:t>中标人提供的产品来源清晰，可追溯，中标人送货时，同时提供产品质量合格材料：</w:t>
            </w:r>
          </w:p>
          <w:p w14:paraId="40B1CC1B">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当批次产品检验合格证明（第三方检测报告或生产厂家检验合格证明）。</w:t>
            </w:r>
          </w:p>
        </w:tc>
        <w:tc>
          <w:tcPr>
            <w:tcW w:w="2813" w:type="dxa"/>
            <w:tcBorders>
              <w:top w:val="single" w:color="auto" w:sz="4" w:space="0"/>
              <w:left w:val="single" w:color="auto" w:sz="4" w:space="0"/>
              <w:bottom w:val="single" w:color="auto" w:sz="4" w:space="0"/>
              <w:right w:val="single" w:color="auto" w:sz="4" w:space="0"/>
            </w:tcBorders>
          </w:tcPr>
          <w:p w14:paraId="7FF008D6">
            <w:pPr>
              <w:spacing w:line="360" w:lineRule="auto"/>
              <w:ind w:firstLine="420" w:firstLineChars="200"/>
              <w:rPr>
                <w:rFonts w:ascii="楷体" w:hAnsi="楷体" w:eastAsia="楷体" w:cs="宋体"/>
                <w:color w:val="000000"/>
                <w:szCs w:val="21"/>
                <w:highlight w:val="none"/>
              </w:rPr>
            </w:pPr>
            <w:r>
              <w:rPr>
                <w:rFonts w:hint="eastAsia" w:ascii="楷体" w:hAnsi="楷体" w:eastAsia="楷体" w:cs="宋体"/>
                <w:color w:val="000000"/>
                <w:szCs w:val="21"/>
                <w:highlight w:val="none"/>
              </w:rPr>
              <w:t>不符合要求，每发生一次扣20分。</w:t>
            </w:r>
          </w:p>
        </w:tc>
        <w:tc>
          <w:tcPr>
            <w:tcW w:w="1011" w:type="dxa"/>
            <w:tcBorders>
              <w:top w:val="single" w:color="auto" w:sz="4" w:space="0"/>
              <w:left w:val="single" w:color="auto" w:sz="4" w:space="0"/>
              <w:bottom w:val="single" w:color="auto" w:sz="4" w:space="0"/>
              <w:right w:val="single" w:color="auto" w:sz="4" w:space="0"/>
            </w:tcBorders>
            <w:vAlign w:val="center"/>
          </w:tcPr>
          <w:p w14:paraId="36900290">
            <w:pPr>
              <w:spacing w:line="360" w:lineRule="auto"/>
              <w:rPr>
                <w:rFonts w:ascii="宋体" w:hAnsi="宋体" w:cs="宋体"/>
                <w:color w:val="000000"/>
                <w:sz w:val="20"/>
                <w:szCs w:val="20"/>
                <w:highlight w:val="none"/>
              </w:rPr>
            </w:pPr>
          </w:p>
        </w:tc>
      </w:tr>
      <w:tr w14:paraId="08CF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tcBorders>
              <w:top w:val="single" w:color="auto" w:sz="4" w:space="0"/>
              <w:left w:val="single" w:color="auto" w:sz="4" w:space="0"/>
              <w:bottom w:val="single" w:color="auto" w:sz="4" w:space="0"/>
              <w:right w:val="single" w:color="auto" w:sz="4" w:space="0"/>
            </w:tcBorders>
            <w:vAlign w:val="center"/>
          </w:tcPr>
          <w:p w14:paraId="379CC70D">
            <w:pPr>
              <w:spacing w:line="360" w:lineRule="auto"/>
              <w:rPr>
                <w:rFonts w:ascii="宋体" w:hAnsi="宋体" w:cs="宋体"/>
                <w:color w:val="000000"/>
                <w:sz w:val="20"/>
                <w:szCs w:val="20"/>
                <w:highlight w:val="none"/>
                <w:lang w:bidi="ar"/>
              </w:rPr>
            </w:pPr>
            <w:r>
              <w:rPr>
                <w:rFonts w:hint="eastAsia" w:ascii="宋体" w:hAnsi="宋体" w:cs="宋体"/>
                <w:color w:val="000000"/>
                <w:sz w:val="20"/>
                <w:szCs w:val="20"/>
                <w:highlight w:val="none"/>
                <w:lang w:bidi="ar"/>
              </w:rPr>
              <w:t>扣分合计</w:t>
            </w:r>
          </w:p>
        </w:tc>
        <w:tc>
          <w:tcPr>
            <w:tcW w:w="4202" w:type="dxa"/>
            <w:tcBorders>
              <w:top w:val="single" w:color="auto" w:sz="4" w:space="0"/>
              <w:left w:val="single" w:color="auto" w:sz="4" w:space="0"/>
              <w:bottom w:val="single" w:color="auto" w:sz="4" w:space="0"/>
              <w:right w:val="single" w:color="auto" w:sz="4" w:space="0"/>
            </w:tcBorders>
          </w:tcPr>
          <w:p w14:paraId="148D086E">
            <w:pPr>
              <w:spacing w:line="360" w:lineRule="auto"/>
              <w:ind w:firstLine="420" w:firstLineChars="200"/>
              <w:rPr>
                <w:rFonts w:ascii="楷体" w:hAnsi="楷体" w:eastAsia="楷体" w:cs="宋体"/>
                <w:color w:val="000000"/>
                <w:szCs w:val="21"/>
                <w:highlight w:val="none"/>
              </w:rPr>
            </w:pPr>
          </w:p>
        </w:tc>
        <w:tc>
          <w:tcPr>
            <w:tcW w:w="2813" w:type="dxa"/>
            <w:tcBorders>
              <w:top w:val="single" w:color="auto" w:sz="4" w:space="0"/>
              <w:left w:val="single" w:color="auto" w:sz="4" w:space="0"/>
              <w:bottom w:val="single" w:color="auto" w:sz="4" w:space="0"/>
              <w:right w:val="single" w:color="auto" w:sz="4" w:space="0"/>
            </w:tcBorders>
          </w:tcPr>
          <w:p w14:paraId="01891B1D">
            <w:pPr>
              <w:spacing w:line="360" w:lineRule="auto"/>
              <w:rPr>
                <w:rFonts w:ascii="楷体" w:hAnsi="楷体" w:eastAsia="楷体" w:cs="宋体"/>
                <w:color w:val="000000"/>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03E1CF07">
            <w:pPr>
              <w:spacing w:line="360" w:lineRule="auto"/>
              <w:rPr>
                <w:rFonts w:ascii="宋体" w:hAnsi="宋体" w:cs="宋体"/>
                <w:color w:val="000000"/>
                <w:sz w:val="20"/>
                <w:szCs w:val="20"/>
                <w:highlight w:val="none"/>
              </w:rPr>
            </w:pPr>
          </w:p>
        </w:tc>
      </w:tr>
      <w:tr w14:paraId="3355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tcBorders>
              <w:top w:val="single" w:color="auto" w:sz="4" w:space="0"/>
              <w:left w:val="single" w:color="auto" w:sz="4" w:space="0"/>
              <w:bottom w:val="single" w:color="auto" w:sz="4" w:space="0"/>
              <w:right w:val="single" w:color="auto" w:sz="4" w:space="0"/>
            </w:tcBorders>
            <w:vAlign w:val="center"/>
          </w:tcPr>
          <w:p w14:paraId="2B159639">
            <w:pPr>
              <w:spacing w:line="360" w:lineRule="auto"/>
              <w:rPr>
                <w:rFonts w:ascii="宋体" w:hAnsi="宋体" w:cs="宋体"/>
                <w:color w:val="000000"/>
                <w:sz w:val="20"/>
                <w:szCs w:val="20"/>
                <w:highlight w:val="none"/>
                <w:lang w:bidi="ar"/>
              </w:rPr>
            </w:pPr>
            <w:r>
              <w:rPr>
                <w:rFonts w:hint="eastAsia" w:ascii="宋体" w:hAnsi="宋体" w:cs="宋体"/>
                <w:color w:val="000000"/>
                <w:sz w:val="20"/>
                <w:szCs w:val="20"/>
                <w:highlight w:val="none"/>
                <w:lang w:bidi="ar"/>
              </w:rPr>
              <w:t>得分合计</w:t>
            </w:r>
          </w:p>
        </w:tc>
        <w:tc>
          <w:tcPr>
            <w:tcW w:w="4202" w:type="dxa"/>
            <w:tcBorders>
              <w:top w:val="single" w:color="auto" w:sz="4" w:space="0"/>
              <w:left w:val="single" w:color="auto" w:sz="4" w:space="0"/>
              <w:bottom w:val="single" w:color="auto" w:sz="4" w:space="0"/>
              <w:right w:val="single" w:color="auto" w:sz="4" w:space="0"/>
            </w:tcBorders>
          </w:tcPr>
          <w:p w14:paraId="7630C860">
            <w:pPr>
              <w:tabs>
                <w:tab w:val="left" w:pos="540"/>
              </w:tabs>
              <w:spacing w:line="360" w:lineRule="auto"/>
              <w:jc w:val="left"/>
              <w:rPr>
                <w:rFonts w:ascii="楷体" w:hAnsi="楷体" w:eastAsia="楷体" w:cs="宋体"/>
                <w:color w:val="000000"/>
                <w:kern w:val="0"/>
                <w:szCs w:val="21"/>
                <w:highlight w:val="none"/>
                <w:lang w:bidi="ar"/>
              </w:rPr>
            </w:pPr>
            <w:r>
              <w:rPr>
                <w:rFonts w:hint="eastAsia" w:ascii="楷体" w:hAnsi="楷体" w:eastAsia="楷体" w:cs="宋体"/>
                <w:color w:val="000000"/>
                <w:kern w:val="0"/>
                <w:szCs w:val="21"/>
                <w:highlight w:val="none"/>
                <w:lang w:bidi="ar"/>
              </w:rPr>
              <w:t>考核得分规则：</w:t>
            </w:r>
          </w:p>
          <w:p w14:paraId="4883FBB8">
            <w:pPr>
              <w:tabs>
                <w:tab w:val="left" w:pos="540"/>
              </w:tabs>
              <w:spacing w:line="360" w:lineRule="auto"/>
              <w:jc w:val="left"/>
              <w:rPr>
                <w:rFonts w:ascii="楷体" w:hAnsi="楷体" w:eastAsia="楷体" w:cs="宋体"/>
                <w:color w:val="000000"/>
                <w:kern w:val="0"/>
                <w:szCs w:val="21"/>
                <w:highlight w:val="none"/>
                <w:lang w:bidi="ar"/>
              </w:rPr>
            </w:pPr>
            <w:r>
              <w:rPr>
                <w:rFonts w:hint="eastAsia" w:ascii="楷体" w:hAnsi="楷体" w:eastAsia="楷体" w:cs="宋体"/>
                <w:color w:val="000000"/>
                <w:kern w:val="0"/>
                <w:szCs w:val="21"/>
                <w:highlight w:val="none"/>
                <w:lang w:bidi="ar"/>
              </w:rPr>
              <w:t>基础分100分，本月考核得分=基础分100分-扣分</w:t>
            </w:r>
          </w:p>
        </w:tc>
        <w:tc>
          <w:tcPr>
            <w:tcW w:w="2813" w:type="dxa"/>
            <w:tcBorders>
              <w:top w:val="single" w:color="auto" w:sz="4" w:space="0"/>
              <w:left w:val="single" w:color="auto" w:sz="4" w:space="0"/>
              <w:bottom w:val="single" w:color="auto" w:sz="4" w:space="0"/>
              <w:right w:val="single" w:color="auto" w:sz="4" w:space="0"/>
            </w:tcBorders>
          </w:tcPr>
          <w:p w14:paraId="0A5C8A9A">
            <w:pPr>
              <w:spacing w:line="360" w:lineRule="auto"/>
              <w:rPr>
                <w:rFonts w:ascii="楷体" w:hAnsi="楷体" w:eastAsia="楷体" w:cs="宋体"/>
                <w:color w:val="000000"/>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1B3DF7BC">
            <w:pPr>
              <w:spacing w:line="360" w:lineRule="auto"/>
              <w:rPr>
                <w:rFonts w:ascii="宋体" w:hAnsi="宋体" w:cs="宋体"/>
                <w:color w:val="000000"/>
                <w:sz w:val="20"/>
                <w:szCs w:val="20"/>
                <w:highlight w:val="none"/>
              </w:rPr>
            </w:pPr>
          </w:p>
        </w:tc>
      </w:tr>
      <w:tr w14:paraId="429F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tcBorders>
              <w:top w:val="single" w:color="auto" w:sz="4" w:space="0"/>
              <w:left w:val="single" w:color="auto" w:sz="4" w:space="0"/>
              <w:bottom w:val="single" w:color="auto" w:sz="4" w:space="0"/>
              <w:right w:val="single" w:color="auto" w:sz="4" w:space="0"/>
            </w:tcBorders>
            <w:vAlign w:val="center"/>
          </w:tcPr>
          <w:p w14:paraId="78E28FC9">
            <w:pPr>
              <w:spacing w:line="360" w:lineRule="auto"/>
              <w:rPr>
                <w:rFonts w:ascii="宋体" w:hAnsi="宋体" w:cs="宋体"/>
                <w:color w:val="000000"/>
                <w:sz w:val="20"/>
                <w:szCs w:val="20"/>
                <w:highlight w:val="none"/>
                <w:lang w:bidi="ar"/>
              </w:rPr>
            </w:pPr>
            <w:r>
              <w:rPr>
                <w:rFonts w:hint="eastAsia" w:ascii="宋体" w:hAnsi="宋体" w:cs="宋体"/>
                <w:color w:val="000000"/>
                <w:sz w:val="20"/>
                <w:szCs w:val="20"/>
                <w:highlight w:val="none"/>
                <w:lang w:bidi="ar"/>
              </w:rPr>
              <w:t>考核扣款</w:t>
            </w:r>
          </w:p>
        </w:tc>
        <w:tc>
          <w:tcPr>
            <w:tcW w:w="4202" w:type="dxa"/>
            <w:tcBorders>
              <w:top w:val="single" w:color="auto" w:sz="4" w:space="0"/>
              <w:left w:val="single" w:color="auto" w:sz="4" w:space="0"/>
              <w:bottom w:val="single" w:color="auto" w:sz="4" w:space="0"/>
              <w:right w:val="single" w:color="auto" w:sz="4" w:space="0"/>
            </w:tcBorders>
          </w:tcPr>
          <w:p w14:paraId="26B30171">
            <w:pPr>
              <w:spacing w:line="360" w:lineRule="auto"/>
              <w:jc w:val="left"/>
              <w:rPr>
                <w:rFonts w:ascii="楷体" w:hAnsi="楷体" w:eastAsia="楷体" w:cs="宋体"/>
                <w:color w:val="000000"/>
                <w:szCs w:val="21"/>
                <w:highlight w:val="none"/>
              </w:rPr>
            </w:pPr>
            <w:r>
              <w:rPr>
                <w:rFonts w:hint="eastAsia" w:ascii="楷体" w:hAnsi="楷体" w:eastAsia="楷体" w:cs="宋体"/>
                <w:color w:val="000000"/>
                <w:szCs w:val="21"/>
                <w:highlight w:val="none"/>
              </w:rPr>
              <w:t>本月考核扣款：</w:t>
            </w:r>
            <w:r>
              <w:rPr>
                <w:rFonts w:hint="eastAsia" w:ascii="楷体" w:hAnsi="楷体" w:eastAsia="楷体" w:cs="宋体"/>
                <w:color w:val="000000"/>
                <w:szCs w:val="21"/>
                <w:highlight w:val="none"/>
                <w:u w:val="single"/>
              </w:rPr>
              <w:t xml:space="preserve">             </w:t>
            </w:r>
            <w:r>
              <w:rPr>
                <w:rFonts w:hint="eastAsia" w:ascii="楷体" w:hAnsi="楷体" w:eastAsia="楷体" w:cs="宋体"/>
                <w:color w:val="000000"/>
                <w:szCs w:val="21"/>
                <w:highlight w:val="none"/>
              </w:rPr>
              <w:t xml:space="preserve">                            </w:t>
            </w:r>
          </w:p>
          <w:p w14:paraId="3C4B036C">
            <w:pPr>
              <w:spacing w:line="360" w:lineRule="auto"/>
              <w:jc w:val="left"/>
              <w:rPr>
                <w:rFonts w:ascii="楷体" w:hAnsi="楷体" w:eastAsia="楷体" w:cs="宋体"/>
                <w:color w:val="000000"/>
                <w:szCs w:val="21"/>
                <w:highlight w:val="none"/>
              </w:rPr>
            </w:pPr>
            <w:r>
              <w:rPr>
                <w:rFonts w:hint="eastAsia" w:ascii="楷体" w:hAnsi="楷体" w:eastAsia="楷体" w:cs="宋体"/>
                <w:color w:val="000000"/>
                <w:szCs w:val="21"/>
                <w:highlight w:val="none"/>
              </w:rPr>
              <w:t>总分在90分或以上时，不扣款；</w:t>
            </w:r>
          </w:p>
          <w:p w14:paraId="24CF28FE">
            <w:pPr>
              <w:spacing w:line="360" w:lineRule="auto"/>
              <w:jc w:val="left"/>
              <w:rPr>
                <w:rFonts w:ascii="楷体" w:hAnsi="楷体" w:eastAsia="楷体" w:cs="宋体"/>
                <w:color w:val="000000"/>
                <w:szCs w:val="21"/>
                <w:highlight w:val="none"/>
              </w:rPr>
            </w:pPr>
            <w:r>
              <w:rPr>
                <w:rFonts w:hint="eastAsia" w:ascii="楷体" w:hAnsi="楷体" w:eastAsia="楷体" w:cs="宋体"/>
                <w:color w:val="000000"/>
                <w:szCs w:val="21"/>
                <w:highlight w:val="none"/>
              </w:rPr>
              <w:t>总分在80~89分时，扣款 (90-总分)×100元；</w:t>
            </w:r>
          </w:p>
          <w:p w14:paraId="3A645B2F">
            <w:pPr>
              <w:spacing w:line="360" w:lineRule="auto"/>
              <w:jc w:val="left"/>
              <w:rPr>
                <w:rFonts w:ascii="楷体" w:hAnsi="楷体" w:eastAsia="楷体" w:cs="宋体"/>
                <w:color w:val="000000"/>
                <w:szCs w:val="21"/>
                <w:highlight w:val="none"/>
              </w:rPr>
            </w:pPr>
            <w:r>
              <w:rPr>
                <w:rFonts w:hint="eastAsia" w:ascii="楷体" w:hAnsi="楷体" w:eastAsia="楷体" w:cs="宋体"/>
                <w:color w:val="000000"/>
                <w:szCs w:val="21"/>
                <w:highlight w:val="none"/>
              </w:rPr>
              <w:t>总分在70~79分时，扣款 [(80-总分)×200+1000] 元；</w:t>
            </w:r>
          </w:p>
          <w:p w14:paraId="370AFBC8">
            <w:pPr>
              <w:spacing w:line="360" w:lineRule="auto"/>
              <w:jc w:val="left"/>
              <w:rPr>
                <w:rFonts w:ascii="楷体" w:hAnsi="楷体" w:eastAsia="楷体" w:cs="宋体"/>
                <w:color w:val="000000"/>
                <w:szCs w:val="21"/>
                <w:highlight w:val="none"/>
              </w:rPr>
            </w:pPr>
            <w:r>
              <w:rPr>
                <w:rFonts w:hint="eastAsia" w:ascii="楷体" w:hAnsi="楷体" w:eastAsia="楷体" w:cs="宋体"/>
                <w:color w:val="000000"/>
                <w:szCs w:val="21"/>
                <w:highlight w:val="none"/>
              </w:rPr>
              <w:t>总分在60~69分时，扣款 [(70-总分)×300+3000] 元；</w:t>
            </w:r>
          </w:p>
          <w:p w14:paraId="3B69FC1A">
            <w:pPr>
              <w:spacing w:line="360" w:lineRule="auto"/>
              <w:jc w:val="left"/>
              <w:rPr>
                <w:rFonts w:ascii="楷体" w:hAnsi="楷体" w:eastAsia="楷体" w:cs="宋体"/>
                <w:color w:val="000000"/>
                <w:szCs w:val="21"/>
                <w:highlight w:val="none"/>
              </w:rPr>
            </w:pPr>
            <w:bookmarkStart w:id="36" w:name="OLE_LINK53"/>
            <w:bookmarkStart w:id="37" w:name="OLE_LINK54"/>
            <w:bookmarkStart w:id="38" w:name="OLE_LINK52"/>
            <w:r>
              <w:rPr>
                <w:rFonts w:hint="eastAsia" w:ascii="楷体" w:hAnsi="楷体" w:eastAsia="楷体" w:cs="宋体"/>
                <w:color w:val="000000"/>
                <w:szCs w:val="21"/>
                <w:highlight w:val="none"/>
              </w:rPr>
              <w:t>低于60分扣减当月</w:t>
            </w:r>
            <w:r>
              <w:rPr>
                <w:rFonts w:hint="eastAsia" w:ascii="楷体" w:hAnsi="楷体" w:eastAsia="楷体" w:cs="宋体"/>
                <w:color w:val="000000"/>
                <w:szCs w:val="21"/>
                <w:highlight w:val="none"/>
                <w:lang w:val="en-US" w:eastAsia="zh-CN"/>
              </w:rPr>
              <w:t>服务费</w:t>
            </w:r>
            <w:r>
              <w:rPr>
                <w:rFonts w:hint="eastAsia" w:ascii="楷体" w:hAnsi="楷体" w:eastAsia="楷体" w:cs="宋体"/>
                <w:color w:val="000000"/>
                <w:szCs w:val="21"/>
                <w:highlight w:val="none"/>
              </w:rPr>
              <w:t>的50%；</w:t>
            </w:r>
          </w:p>
          <w:bookmarkEnd w:id="36"/>
          <w:bookmarkEnd w:id="37"/>
          <w:p w14:paraId="6BF9401E">
            <w:pPr>
              <w:spacing w:line="360" w:lineRule="auto"/>
              <w:jc w:val="left"/>
              <w:rPr>
                <w:rFonts w:ascii="楷体" w:hAnsi="楷体" w:eastAsia="楷体" w:cs="宋体"/>
                <w:color w:val="000000"/>
                <w:szCs w:val="21"/>
                <w:highlight w:val="none"/>
              </w:rPr>
            </w:pPr>
            <w:r>
              <w:rPr>
                <w:rFonts w:hint="eastAsia" w:ascii="楷体" w:hAnsi="楷体" w:eastAsia="楷体" w:cs="宋体"/>
                <w:color w:val="000000"/>
                <w:szCs w:val="21"/>
                <w:highlight w:val="none"/>
              </w:rPr>
              <w:t>合同期内考核表月度考核评分累计3次及以上低于80分（含）或累计2次及以上低于70分</w:t>
            </w:r>
            <w:r>
              <w:rPr>
                <w:rFonts w:hint="eastAsia" w:ascii="楷体" w:hAnsi="楷体" w:eastAsia="楷体" w:cs="宋体"/>
                <w:color w:val="000000"/>
                <w:szCs w:val="21"/>
                <w:highlight w:val="none"/>
                <w:lang w:eastAsia="zh-CN"/>
              </w:rPr>
              <w:t>（</w:t>
            </w:r>
            <w:r>
              <w:rPr>
                <w:rFonts w:hint="eastAsia" w:ascii="楷体" w:hAnsi="楷体" w:eastAsia="楷体" w:cs="宋体"/>
                <w:color w:val="000000"/>
                <w:szCs w:val="21"/>
                <w:highlight w:val="none"/>
                <w:lang w:val="en-US" w:eastAsia="zh-CN"/>
              </w:rPr>
              <w:t>含</w:t>
            </w:r>
            <w:r>
              <w:rPr>
                <w:rFonts w:hint="eastAsia" w:ascii="楷体" w:hAnsi="楷体" w:eastAsia="楷体" w:cs="宋体"/>
                <w:color w:val="000000"/>
                <w:szCs w:val="21"/>
                <w:highlight w:val="none"/>
                <w:lang w:eastAsia="zh-CN"/>
              </w:rPr>
              <w:t>）</w:t>
            </w:r>
            <w:r>
              <w:rPr>
                <w:rFonts w:hint="eastAsia" w:ascii="楷体" w:hAnsi="楷体" w:eastAsia="楷体" w:cs="宋体"/>
                <w:color w:val="000000"/>
                <w:szCs w:val="21"/>
                <w:highlight w:val="none"/>
              </w:rPr>
              <w:t>或1次及以上低于60分（含），采购人有权终止合同</w:t>
            </w:r>
            <w:bookmarkEnd w:id="38"/>
            <w:r>
              <w:rPr>
                <w:rFonts w:hint="eastAsia" w:ascii="楷体" w:hAnsi="楷体" w:eastAsia="楷体" w:cs="宋体"/>
                <w:color w:val="000000"/>
                <w:szCs w:val="21"/>
                <w:highlight w:val="none"/>
              </w:rPr>
              <w:t>，所发生的一切损失由中标人负责。</w:t>
            </w:r>
          </w:p>
        </w:tc>
        <w:tc>
          <w:tcPr>
            <w:tcW w:w="2813" w:type="dxa"/>
            <w:tcBorders>
              <w:top w:val="single" w:color="auto" w:sz="4" w:space="0"/>
              <w:left w:val="single" w:color="auto" w:sz="4" w:space="0"/>
              <w:bottom w:val="single" w:color="auto" w:sz="4" w:space="0"/>
              <w:right w:val="single" w:color="auto" w:sz="4" w:space="0"/>
            </w:tcBorders>
          </w:tcPr>
          <w:p w14:paraId="541DB476">
            <w:pPr>
              <w:spacing w:line="360" w:lineRule="auto"/>
              <w:rPr>
                <w:rFonts w:ascii="楷体" w:hAnsi="楷体" w:eastAsia="楷体" w:cs="宋体"/>
                <w:color w:val="000000"/>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12A0EC8F">
            <w:pPr>
              <w:spacing w:line="360" w:lineRule="auto"/>
              <w:rPr>
                <w:rFonts w:ascii="宋体" w:hAnsi="宋体" w:cs="宋体"/>
                <w:color w:val="000000"/>
                <w:sz w:val="20"/>
                <w:szCs w:val="20"/>
                <w:highlight w:val="none"/>
              </w:rPr>
            </w:pPr>
          </w:p>
        </w:tc>
      </w:tr>
      <w:tr w14:paraId="7DBF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4" w:type="dxa"/>
            <w:tcBorders>
              <w:top w:val="single" w:color="auto" w:sz="4" w:space="0"/>
              <w:left w:val="single" w:color="auto" w:sz="4" w:space="0"/>
              <w:bottom w:val="single" w:color="auto" w:sz="4" w:space="0"/>
              <w:right w:val="single" w:color="auto" w:sz="4" w:space="0"/>
            </w:tcBorders>
            <w:vAlign w:val="center"/>
          </w:tcPr>
          <w:p w14:paraId="0C6E3436">
            <w:pPr>
              <w:spacing w:line="360" w:lineRule="auto"/>
              <w:rPr>
                <w:rFonts w:ascii="宋体" w:hAnsi="宋体" w:cs="宋体"/>
                <w:color w:val="000000"/>
                <w:sz w:val="20"/>
                <w:szCs w:val="20"/>
                <w:highlight w:val="none"/>
                <w:lang w:bidi="ar"/>
              </w:rPr>
            </w:pPr>
            <w:r>
              <w:rPr>
                <w:rFonts w:hint="eastAsia" w:ascii="宋体" w:hAnsi="宋体" w:cs="宋体"/>
                <w:color w:val="000000"/>
                <w:sz w:val="20"/>
                <w:szCs w:val="20"/>
                <w:highlight w:val="none"/>
                <w:lang w:bidi="ar"/>
              </w:rPr>
              <w:t>违约金</w:t>
            </w:r>
          </w:p>
        </w:tc>
        <w:tc>
          <w:tcPr>
            <w:tcW w:w="4202" w:type="dxa"/>
            <w:tcBorders>
              <w:top w:val="single" w:color="auto" w:sz="4" w:space="0"/>
              <w:left w:val="single" w:color="auto" w:sz="4" w:space="0"/>
              <w:bottom w:val="single" w:color="auto" w:sz="4" w:space="0"/>
              <w:right w:val="single" w:color="auto" w:sz="4" w:space="0"/>
            </w:tcBorders>
          </w:tcPr>
          <w:p w14:paraId="7AD5A2BA">
            <w:pPr>
              <w:spacing w:line="360" w:lineRule="auto"/>
              <w:jc w:val="left"/>
              <w:rPr>
                <w:rFonts w:ascii="楷体" w:hAnsi="楷体" w:eastAsia="楷体" w:cs="宋体"/>
                <w:color w:val="000000"/>
                <w:szCs w:val="21"/>
                <w:highlight w:val="none"/>
              </w:rPr>
            </w:pPr>
            <w:r>
              <w:rPr>
                <w:rFonts w:hint="eastAsia" w:ascii="楷体" w:hAnsi="楷体" w:eastAsia="楷体" w:cs="宋体"/>
                <w:color w:val="000000"/>
                <w:szCs w:val="21"/>
                <w:highlight w:val="none"/>
              </w:rPr>
              <w:t>本月违约金</w:t>
            </w:r>
            <w:r>
              <w:rPr>
                <w:rFonts w:hint="eastAsia" w:ascii="楷体" w:hAnsi="楷体" w:eastAsia="楷体" w:cs="宋体"/>
                <w:color w:val="000000"/>
                <w:szCs w:val="21"/>
                <w:highlight w:val="none"/>
                <w:u w:val="single"/>
              </w:rPr>
              <w:t xml:space="preserve">           </w:t>
            </w:r>
            <w:r>
              <w:rPr>
                <w:rFonts w:hint="eastAsia" w:ascii="楷体" w:hAnsi="楷体" w:eastAsia="楷体" w:cs="宋体"/>
                <w:color w:val="000000"/>
                <w:szCs w:val="21"/>
                <w:highlight w:val="none"/>
              </w:rPr>
              <w:t>元</w:t>
            </w:r>
            <w:r>
              <w:rPr>
                <w:rFonts w:hint="eastAsia" w:ascii="楷体" w:hAnsi="楷体" w:eastAsia="楷体" w:cs="仿宋"/>
                <w:color w:val="000000"/>
                <w:szCs w:val="21"/>
                <w:highlight w:val="none"/>
              </w:rPr>
              <w:t>(本考核表扣款+合同违约条款的违约金）</w:t>
            </w:r>
          </w:p>
        </w:tc>
        <w:tc>
          <w:tcPr>
            <w:tcW w:w="2813" w:type="dxa"/>
            <w:tcBorders>
              <w:top w:val="single" w:color="auto" w:sz="4" w:space="0"/>
              <w:left w:val="single" w:color="auto" w:sz="4" w:space="0"/>
              <w:bottom w:val="single" w:color="auto" w:sz="4" w:space="0"/>
              <w:right w:val="single" w:color="auto" w:sz="4" w:space="0"/>
            </w:tcBorders>
          </w:tcPr>
          <w:p w14:paraId="70D0B2BA">
            <w:pPr>
              <w:spacing w:line="360" w:lineRule="auto"/>
              <w:rPr>
                <w:rFonts w:ascii="楷体" w:hAnsi="楷体" w:eastAsia="楷体" w:cs="宋体"/>
                <w:color w:val="000000"/>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11657ED6">
            <w:pPr>
              <w:spacing w:line="360" w:lineRule="auto"/>
              <w:rPr>
                <w:rFonts w:ascii="宋体" w:hAnsi="宋体" w:cs="宋体"/>
                <w:color w:val="000000"/>
                <w:sz w:val="20"/>
                <w:szCs w:val="20"/>
                <w:highlight w:val="none"/>
              </w:rPr>
            </w:pPr>
          </w:p>
        </w:tc>
      </w:tr>
      <w:bookmarkEnd w:id="33"/>
      <w:bookmarkEnd w:id="34"/>
    </w:tbl>
    <w:p w14:paraId="0278D9EF">
      <w:pPr>
        <w:pStyle w:val="45"/>
        <w:rPr>
          <w:rFonts w:ascii="楷体" w:hAnsi="楷体" w:eastAsia="楷体"/>
          <w:highlight w:val="none"/>
          <w:lang w:bidi="ar"/>
        </w:rPr>
      </w:pPr>
    </w:p>
    <w:p w14:paraId="39D9632B">
      <w:pPr>
        <w:pStyle w:val="45"/>
        <w:rPr>
          <w:rFonts w:ascii="楷体" w:hAnsi="楷体" w:eastAsia="楷体"/>
          <w:highlight w:val="none"/>
          <w:lang w:bidi="ar"/>
        </w:rPr>
      </w:pPr>
      <w:r>
        <w:rPr>
          <w:rFonts w:hint="eastAsia" w:ascii="楷体" w:hAnsi="楷体" w:eastAsia="楷体"/>
          <w:highlight w:val="none"/>
          <w:lang w:bidi="ar"/>
        </w:rPr>
        <w:t>考核时段：               供应商：（盖章）        供应商项目负责人：</w:t>
      </w:r>
    </w:p>
    <w:p w14:paraId="3E849ADD">
      <w:pPr>
        <w:pStyle w:val="45"/>
        <w:rPr>
          <w:rFonts w:ascii="楷体" w:hAnsi="楷体" w:eastAsia="楷体"/>
          <w:highlight w:val="none"/>
          <w:lang w:bidi="ar"/>
        </w:rPr>
      </w:pPr>
    </w:p>
    <w:p w14:paraId="2FD0DA62">
      <w:pPr>
        <w:pStyle w:val="45"/>
        <w:rPr>
          <w:rFonts w:ascii="楷体" w:hAnsi="楷体" w:eastAsia="楷体"/>
          <w:highlight w:val="none"/>
          <w:lang w:bidi="ar"/>
        </w:rPr>
      </w:pPr>
    </w:p>
    <w:p w14:paraId="63BE48C1">
      <w:pPr>
        <w:pStyle w:val="45"/>
        <w:rPr>
          <w:rFonts w:ascii="楷体" w:hAnsi="楷体" w:eastAsia="楷体"/>
          <w:highlight w:val="none"/>
          <w:lang w:bidi="ar"/>
        </w:rPr>
      </w:pPr>
      <w:r>
        <w:rPr>
          <w:rFonts w:hint="eastAsia" w:ascii="楷体" w:hAnsi="楷体" w:eastAsia="楷体"/>
          <w:highlight w:val="none"/>
          <w:lang w:bidi="ar"/>
        </w:rPr>
        <w:t>仓管员：                 考核人：                  科室负责人：</w:t>
      </w:r>
    </w:p>
    <w:p w14:paraId="15F9EFAE">
      <w:pPr>
        <w:spacing w:line="360" w:lineRule="auto"/>
        <w:rPr>
          <w:rFonts w:ascii="宋体" w:hAnsi="宋体" w:cs="宋体"/>
          <w:b/>
          <w:color w:val="000000"/>
          <w:szCs w:val="21"/>
          <w:highlight w:val="none"/>
        </w:rPr>
      </w:pPr>
    </w:p>
    <w:p w14:paraId="306C9857">
      <w:pPr>
        <w:spacing w:line="360" w:lineRule="auto"/>
        <w:rPr>
          <w:rFonts w:ascii="宋体" w:hAnsi="宋体" w:cs="宋体"/>
          <w:b/>
          <w:color w:val="000000"/>
          <w:szCs w:val="21"/>
          <w:highlight w:val="none"/>
        </w:rPr>
      </w:pPr>
    </w:p>
    <w:p w14:paraId="2E01B227">
      <w:pPr>
        <w:spacing w:line="360" w:lineRule="auto"/>
        <w:rPr>
          <w:rFonts w:ascii="宋体" w:hAnsi="宋体" w:cs="宋体"/>
          <w:b/>
          <w:color w:val="000000"/>
          <w:szCs w:val="21"/>
          <w:highlight w:val="none"/>
        </w:rPr>
      </w:pPr>
    </w:p>
    <w:p w14:paraId="610B39CF">
      <w:pPr>
        <w:spacing w:line="360" w:lineRule="auto"/>
        <w:rPr>
          <w:rFonts w:ascii="宋体" w:hAnsi="宋体" w:cs="宋体"/>
          <w:b/>
          <w:color w:val="000000"/>
          <w:szCs w:val="21"/>
          <w:highlight w:val="none"/>
        </w:rPr>
      </w:pPr>
    </w:p>
    <w:p w14:paraId="61ECB607">
      <w:pPr>
        <w:spacing w:line="360" w:lineRule="auto"/>
        <w:rPr>
          <w:rFonts w:ascii="宋体" w:hAnsi="宋体" w:cs="宋体"/>
          <w:b/>
          <w:color w:val="000000"/>
          <w:szCs w:val="21"/>
          <w:highlight w:val="none"/>
        </w:rPr>
      </w:pPr>
    </w:p>
    <w:p w14:paraId="51101863">
      <w:pPr>
        <w:spacing w:line="360" w:lineRule="auto"/>
        <w:rPr>
          <w:rFonts w:ascii="宋体" w:hAnsi="宋体" w:cs="宋体"/>
          <w:b/>
          <w:color w:val="000000"/>
          <w:szCs w:val="21"/>
          <w:highlight w:val="none"/>
        </w:rPr>
      </w:pPr>
    </w:p>
    <w:p w14:paraId="718472BE">
      <w:pPr>
        <w:spacing w:line="360" w:lineRule="auto"/>
        <w:rPr>
          <w:rFonts w:ascii="宋体" w:hAnsi="宋体" w:cs="宋体"/>
          <w:b/>
          <w:color w:val="000000"/>
          <w:szCs w:val="21"/>
          <w:highlight w:val="none"/>
        </w:rPr>
      </w:pPr>
    </w:p>
    <w:p w14:paraId="0132C8A1">
      <w:pPr>
        <w:spacing w:line="360" w:lineRule="auto"/>
        <w:rPr>
          <w:rFonts w:ascii="宋体" w:hAnsi="宋体" w:cs="宋体"/>
          <w:b/>
          <w:color w:val="000000"/>
          <w:szCs w:val="21"/>
          <w:highlight w:val="none"/>
        </w:rPr>
      </w:pPr>
    </w:p>
    <w:p w14:paraId="144787A8">
      <w:pPr>
        <w:spacing w:line="360" w:lineRule="auto"/>
        <w:ind w:left="720"/>
        <w:outlineLvl w:val="0"/>
        <w:rPr>
          <w:rFonts w:ascii="宋体" w:hAnsi="宋体"/>
          <w:b/>
          <w:color w:val="000000"/>
          <w:sz w:val="28"/>
          <w:szCs w:val="28"/>
          <w:highlight w:val="none"/>
        </w:rPr>
      </w:pPr>
      <w:bookmarkStart w:id="39" w:name="_Toc25874"/>
    </w:p>
    <w:p w14:paraId="172BF03B">
      <w:pPr>
        <w:spacing w:line="360" w:lineRule="auto"/>
        <w:ind w:left="720"/>
        <w:outlineLvl w:val="0"/>
        <w:rPr>
          <w:rFonts w:ascii="宋体" w:hAnsi="宋体"/>
          <w:b/>
          <w:color w:val="000000"/>
          <w:sz w:val="28"/>
          <w:szCs w:val="28"/>
          <w:highlight w:val="none"/>
        </w:rPr>
      </w:pPr>
    </w:p>
    <w:bookmarkEnd w:id="5"/>
    <w:bookmarkEnd w:id="39"/>
    <w:p w14:paraId="0BABCF42">
      <w:pPr>
        <w:tabs>
          <w:tab w:val="left" w:pos="426"/>
        </w:tabs>
        <w:spacing w:line="360" w:lineRule="auto"/>
        <w:jc w:val="left"/>
        <w:rPr>
          <w:rFonts w:ascii="宋体" w:hAnsi="宋体"/>
          <w:b/>
          <w:bCs/>
          <w:color w:val="000000"/>
          <w:sz w:val="24"/>
          <w:highlight w:val="none"/>
        </w:rPr>
      </w:pPr>
    </w:p>
    <w:sectPr>
      <w:footerReference r:id="rId3" w:type="default"/>
      <w:footerReference r:id="rId4" w:type="even"/>
      <w:pgSz w:w="11906" w:h="16838"/>
      <w:pgMar w:top="1418" w:right="1418" w:bottom="1560" w:left="1418" w:header="907" w:footer="79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Arial (W1)">
    <w:altName w:val="Arial"/>
    <w:panose1 w:val="00000000000000000000"/>
    <w:charset w:val="00"/>
    <w:family w:val="swiss"/>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ヒラギノ角ゴ Pro W3">
    <w:altName w:val="Yu Gothic"/>
    <w:panose1 w:val="00000000000000000000"/>
    <w:charset w:val="80"/>
    <w:family w:val="roman"/>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01820">
    <w:pPr>
      <w:pStyle w:val="3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p w14:paraId="1CEA487D">
    <w:pPr>
      <w:pBdr>
        <w:top w:val="single" w:color="auto" w:sz="4" w:space="1"/>
      </w:pBdr>
      <w:tabs>
        <w:tab w:val="center" w:pos="4153"/>
        <w:tab w:val="right" w:pos="8306"/>
      </w:tabs>
      <w:snapToGrid w:val="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8318">
    <w:pPr>
      <w:pStyle w:val="33"/>
      <w:framePr w:wrap="around" w:vAnchor="text" w:hAnchor="margin" w:xAlign="center" w:y="1"/>
      <w:rPr>
        <w:rStyle w:val="53"/>
      </w:rPr>
    </w:pPr>
    <w:r>
      <w:fldChar w:fldCharType="begin"/>
    </w:r>
    <w:r>
      <w:rPr>
        <w:rStyle w:val="53"/>
      </w:rPr>
      <w:instrText xml:space="preserve">PAGE  </w:instrText>
    </w:r>
    <w:r>
      <w:fldChar w:fldCharType="separate"/>
    </w:r>
    <w:r>
      <w:rPr>
        <w:rStyle w:val="53"/>
      </w:rPr>
      <w:t>1</w:t>
    </w:r>
    <w:r>
      <w:fldChar w:fldCharType="end"/>
    </w:r>
  </w:p>
  <w:p w14:paraId="1EFC1ED7">
    <w:pPr>
      <w:pStyle w:val="33"/>
    </w:pPr>
  </w:p>
  <w:p w14:paraId="4937DFE4"/>
  <w:p w14:paraId="7F951A19"/>
  <w:p w14:paraId="16171CFB"/>
  <w:p w14:paraId="0FBF923E"/>
  <w:p w14:paraId="435A0BD2"/>
  <w:p w14:paraId="70845313"/>
  <w:p w14:paraId="1F73ED4D"/>
  <w:p w14:paraId="3D635DF1"/>
  <w:p w14:paraId="2817BE8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945E6"/>
    <w:multiLevelType w:val="multilevel"/>
    <w:tmpl w:val="EB7945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EADF4FE"/>
    <w:multiLevelType w:val="multilevel"/>
    <w:tmpl w:val="EEADF4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B82B2C"/>
    <w:multiLevelType w:val="multilevel"/>
    <w:tmpl w:val="63B82B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79F59F"/>
    <w:multiLevelType w:val="multilevel"/>
    <w:tmpl w:val="6779F5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9B87C98"/>
    <w:multiLevelType w:val="multilevel"/>
    <w:tmpl w:val="69B87C98"/>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1.%4"/>
      <w:lvlJc w:val="left"/>
      <w:pPr>
        <w:ind w:left="1700" w:hanging="44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zMjZmZjk1YjE5N2M1MjAzNmUzOTYzNGEwNmYwMGQifQ=="/>
  </w:docVars>
  <w:rsids>
    <w:rsidRoot w:val="00172A27"/>
    <w:rsid w:val="000012BB"/>
    <w:rsid w:val="00001B73"/>
    <w:rsid w:val="00002E30"/>
    <w:rsid w:val="000040F2"/>
    <w:rsid w:val="000047E3"/>
    <w:rsid w:val="000050E5"/>
    <w:rsid w:val="00006852"/>
    <w:rsid w:val="00006CE5"/>
    <w:rsid w:val="00006E1A"/>
    <w:rsid w:val="000079AA"/>
    <w:rsid w:val="00007A0B"/>
    <w:rsid w:val="00012034"/>
    <w:rsid w:val="00012542"/>
    <w:rsid w:val="0001260D"/>
    <w:rsid w:val="00013090"/>
    <w:rsid w:val="00013504"/>
    <w:rsid w:val="00013874"/>
    <w:rsid w:val="00013EED"/>
    <w:rsid w:val="00013FDE"/>
    <w:rsid w:val="00014578"/>
    <w:rsid w:val="000153DC"/>
    <w:rsid w:val="00016991"/>
    <w:rsid w:val="00016B87"/>
    <w:rsid w:val="0001706B"/>
    <w:rsid w:val="000170FE"/>
    <w:rsid w:val="00017832"/>
    <w:rsid w:val="00017CE5"/>
    <w:rsid w:val="00017F93"/>
    <w:rsid w:val="000201F4"/>
    <w:rsid w:val="00021131"/>
    <w:rsid w:val="0002130E"/>
    <w:rsid w:val="00021796"/>
    <w:rsid w:val="00022098"/>
    <w:rsid w:val="00023266"/>
    <w:rsid w:val="000232A0"/>
    <w:rsid w:val="00023A22"/>
    <w:rsid w:val="00023A3B"/>
    <w:rsid w:val="00023FAC"/>
    <w:rsid w:val="00024785"/>
    <w:rsid w:val="0002494F"/>
    <w:rsid w:val="00024AD2"/>
    <w:rsid w:val="00024FFE"/>
    <w:rsid w:val="000250E5"/>
    <w:rsid w:val="0002591B"/>
    <w:rsid w:val="00025E1B"/>
    <w:rsid w:val="0002617B"/>
    <w:rsid w:val="00026CF8"/>
    <w:rsid w:val="00026FE9"/>
    <w:rsid w:val="0003080E"/>
    <w:rsid w:val="00030D63"/>
    <w:rsid w:val="000315F0"/>
    <w:rsid w:val="0003234D"/>
    <w:rsid w:val="000329B0"/>
    <w:rsid w:val="0003308F"/>
    <w:rsid w:val="0003337D"/>
    <w:rsid w:val="00033403"/>
    <w:rsid w:val="000345E0"/>
    <w:rsid w:val="00034D4A"/>
    <w:rsid w:val="00035930"/>
    <w:rsid w:val="00035974"/>
    <w:rsid w:val="00035AFF"/>
    <w:rsid w:val="00035C99"/>
    <w:rsid w:val="0003630A"/>
    <w:rsid w:val="00036382"/>
    <w:rsid w:val="00037057"/>
    <w:rsid w:val="00040A28"/>
    <w:rsid w:val="00040DCF"/>
    <w:rsid w:val="00041420"/>
    <w:rsid w:val="000414D0"/>
    <w:rsid w:val="000419DF"/>
    <w:rsid w:val="00041D98"/>
    <w:rsid w:val="00042A0F"/>
    <w:rsid w:val="00042CD4"/>
    <w:rsid w:val="000431E4"/>
    <w:rsid w:val="00043EED"/>
    <w:rsid w:val="0004504E"/>
    <w:rsid w:val="000450C5"/>
    <w:rsid w:val="00045D7A"/>
    <w:rsid w:val="00046DA4"/>
    <w:rsid w:val="00047C1E"/>
    <w:rsid w:val="000508F3"/>
    <w:rsid w:val="00053BFE"/>
    <w:rsid w:val="00053CDF"/>
    <w:rsid w:val="000543CB"/>
    <w:rsid w:val="00054727"/>
    <w:rsid w:val="000547C6"/>
    <w:rsid w:val="00054A5E"/>
    <w:rsid w:val="00054CF9"/>
    <w:rsid w:val="000555B8"/>
    <w:rsid w:val="000559DD"/>
    <w:rsid w:val="00055B2A"/>
    <w:rsid w:val="00056776"/>
    <w:rsid w:val="000567BB"/>
    <w:rsid w:val="000567C1"/>
    <w:rsid w:val="00056C3E"/>
    <w:rsid w:val="00057F39"/>
    <w:rsid w:val="000603ED"/>
    <w:rsid w:val="000604C5"/>
    <w:rsid w:val="000612FB"/>
    <w:rsid w:val="0006248D"/>
    <w:rsid w:val="00062AA4"/>
    <w:rsid w:val="000641F0"/>
    <w:rsid w:val="00064FBC"/>
    <w:rsid w:val="0006500C"/>
    <w:rsid w:val="000652B9"/>
    <w:rsid w:val="00065C5F"/>
    <w:rsid w:val="0006667D"/>
    <w:rsid w:val="00066C30"/>
    <w:rsid w:val="000700A2"/>
    <w:rsid w:val="0007077C"/>
    <w:rsid w:val="00070EF7"/>
    <w:rsid w:val="00070F54"/>
    <w:rsid w:val="000713F2"/>
    <w:rsid w:val="000716FC"/>
    <w:rsid w:val="00071852"/>
    <w:rsid w:val="00071A94"/>
    <w:rsid w:val="000728CB"/>
    <w:rsid w:val="0007373D"/>
    <w:rsid w:val="00073A06"/>
    <w:rsid w:val="00074DF4"/>
    <w:rsid w:val="000757E6"/>
    <w:rsid w:val="0007610C"/>
    <w:rsid w:val="00076FF6"/>
    <w:rsid w:val="00077720"/>
    <w:rsid w:val="00077BE2"/>
    <w:rsid w:val="00080072"/>
    <w:rsid w:val="000800EB"/>
    <w:rsid w:val="000809F9"/>
    <w:rsid w:val="000813B8"/>
    <w:rsid w:val="00081EFE"/>
    <w:rsid w:val="000821AB"/>
    <w:rsid w:val="000823C1"/>
    <w:rsid w:val="00082D15"/>
    <w:rsid w:val="000832F8"/>
    <w:rsid w:val="00083C8C"/>
    <w:rsid w:val="000869F7"/>
    <w:rsid w:val="000878F7"/>
    <w:rsid w:val="00087A2F"/>
    <w:rsid w:val="00087F86"/>
    <w:rsid w:val="00090327"/>
    <w:rsid w:val="00090F1C"/>
    <w:rsid w:val="00091801"/>
    <w:rsid w:val="000925D7"/>
    <w:rsid w:val="00092924"/>
    <w:rsid w:val="00092F09"/>
    <w:rsid w:val="000934B9"/>
    <w:rsid w:val="00093D9D"/>
    <w:rsid w:val="00094096"/>
    <w:rsid w:val="00094758"/>
    <w:rsid w:val="0009602E"/>
    <w:rsid w:val="00097DBE"/>
    <w:rsid w:val="000A0042"/>
    <w:rsid w:val="000A01BE"/>
    <w:rsid w:val="000A0378"/>
    <w:rsid w:val="000A0982"/>
    <w:rsid w:val="000A0B83"/>
    <w:rsid w:val="000A23A3"/>
    <w:rsid w:val="000A292A"/>
    <w:rsid w:val="000A2C51"/>
    <w:rsid w:val="000A2F9C"/>
    <w:rsid w:val="000A36B3"/>
    <w:rsid w:val="000A3935"/>
    <w:rsid w:val="000A3E85"/>
    <w:rsid w:val="000A53B4"/>
    <w:rsid w:val="000A589B"/>
    <w:rsid w:val="000A600F"/>
    <w:rsid w:val="000A6443"/>
    <w:rsid w:val="000A6DAF"/>
    <w:rsid w:val="000A7C27"/>
    <w:rsid w:val="000A7D89"/>
    <w:rsid w:val="000B020C"/>
    <w:rsid w:val="000B0E0C"/>
    <w:rsid w:val="000B1107"/>
    <w:rsid w:val="000B129A"/>
    <w:rsid w:val="000B153B"/>
    <w:rsid w:val="000B23EF"/>
    <w:rsid w:val="000B25AA"/>
    <w:rsid w:val="000B3929"/>
    <w:rsid w:val="000B4110"/>
    <w:rsid w:val="000B41F0"/>
    <w:rsid w:val="000B4364"/>
    <w:rsid w:val="000B5434"/>
    <w:rsid w:val="000B5C28"/>
    <w:rsid w:val="000B63BC"/>
    <w:rsid w:val="000C0074"/>
    <w:rsid w:val="000C0A07"/>
    <w:rsid w:val="000C0E3B"/>
    <w:rsid w:val="000C0F0A"/>
    <w:rsid w:val="000C16FF"/>
    <w:rsid w:val="000C224E"/>
    <w:rsid w:val="000C28C4"/>
    <w:rsid w:val="000C2A57"/>
    <w:rsid w:val="000C2E5C"/>
    <w:rsid w:val="000C4546"/>
    <w:rsid w:val="000C46D3"/>
    <w:rsid w:val="000C4A48"/>
    <w:rsid w:val="000C5AB1"/>
    <w:rsid w:val="000C5FEB"/>
    <w:rsid w:val="000C70F9"/>
    <w:rsid w:val="000C7434"/>
    <w:rsid w:val="000D0214"/>
    <w:rsid w:val="000D039C"/>
    <w:rsid w:val="000D172E"/>
    <w:rsid w:val="000D17E1"/>
    <w:rsid w:val="000D20B2"/>
    <w:rsid w:val="000D2726"/>
    <w:rsid w:val="000D2B15"/>
    <w:rsid w:val="000D2C1E"/>
    <w:rsid w:val="000D3154"/>
    <w:rsid w:val="000D3CC6"/>
    <w:rsid w:val="000D3DED"/>
    <w:rsid w:val="000D41AF"/>
    <w:rsid w:val="000D4530"/>
    <w:rsid w:val="000D459F"/>
    <w:rsid w:val="000D4746"/>
    <w:rsid w:val="000D5BD3"/>
    <w:rsid w:val="000D5DD7"/>
    <w:rsid w:val="000D60C8"/>
    <w:rsid w:val="000D6D6B"/>
    <w:rsid w:val="000E08BE"/>
    <w:rsid w:val="000E0F7F"/>
    <w:rsid w:val="000E10E0"/>
    <w:rsid w:val="000E1163"/>
    <w:rsid w:val="000E16B2"/>
    <w:rsid w:val="000E2331"/>
    <w:rsid w:val="000E294A"/>
    <w:rsid w:val="000E3C32"/>
    <w:rsid w:val="000E4436"/>
    <w:rsid w:val="000E490D"/>
    <w:rsid w:val="000E5BA2"/>
    <w:rsid w:val="000E5E1C"/>
    <w:rsid w:val="000E607A"/>
    <w:rsid w:val="000E6405"/>
    <w:rsid w:val="000E7061"/>
    <w:rsid w:val="000E79DE"/>
    <w:rsid w:val="000E7B70"/>
    <w:rsid w:val="000E7B7A"/>
    <w:rsid w:val="000F1581"/>
    <w:rsid w:val="000F186E"/>
    <w:rsid w:val="000F4C2D"/>
    <w:rsid w:val="000F4E24"/>
    <w:rsid w:val="000F524D"/>
    <w:rsid w:val="000F54CA"/>
    <w:rsid w:val="000F5D4B"/>
    <w:rsid w:val="000F68BE"/>
    <w:rsid w:val="000F7556"/>
    <w:rsid w:val="0010099D"/>
    <w:rsid w:val="00100B92"/>
    <w:rsid w:val="00100E77"/>
    <w:rsid w:val="0010138F"/>
    <w:rsid w:val="00101743"/>
    <w:rsid w:val="001036AD"/>
    <w:rsid w:val="001037B2"/>
    <w:rsid w:val="00103DC0"/>
    <w:rsid w:val="001047E0"/>
    <w:rsid w:val="00104BBA"/>
    <w:rsid w:val="00105EBE"/>
    <w:rsid w:val="001063F5"/>
    <w:rsid w:val="0010665D"/>
    <w:rsid w:val="0010668E"/>
    <w:rsid w:val="001066BF"/>
    <w:rsid w:val="0010674D"/>
    <w:rsid w:val="00107AC6"/>
    <w:rsid w:val="00107F96"/>
    <w:rsid w:val="001106E3"/>
    <w:rsid w:val="0011225B"/>
    <w:rsid w:val="00113516"/>
    <w:rsid w:val="0011352E"/>
    <w:rsid w:val="00113649"/>
    <w:rsid w:val="00113650"/>
    <w:rsid w:val="00113985"/>
    <w:rsid w:val="00115046"/>
    <w:rsid w:val="00115137"/>
    <w:rsid w:val="001166E0"/>
    <w:rsid w:val="001169F9"/>
    <w:rsid w:val="0011746F"/>
    <w:rsid w:val="001174C8"/>
    <w:rsid w:val="001175F4"/>
    <w:rsid w:val="001207D9"/>
    <w:rsid w:val="00120D9D"/>
    <w:rsid w:val="00122210"/>
    <w:rsid w:val="001228B4"/>
    <w:rsid w:val="00122E45"/>
    <w:rsid w:val="00122F75"/>
    <w:rsid w:val="00123763"/>
    <w:rsid w:val="00123DF3"/>
    <w:rsid w:val="001244CA"/>
    <w:rsid w:val="00124996"/>
    <w:rsid w:val="00125602"/>
    <w:rsid w:val="001263DE"/>
    <w:rsid w:val="00126A19"/>
    <w:rsid w:val="00126BB6"/>
    <w:rsid w:val="00126CD8"/>
    <w:rsid w:val="00126FA1"/>
    <w:rsid w:val="00127095"/>
    <w:rsid w:val="001274CC"/>
    <w:rsid w:val="0013069A"/>
    <w:rsid w:val="00130CCF"/>
    <w:rsid w:val="00131DF2"/>
    <w:rsid w:val="00132752"/>
    <w:rsid w:val="00133562"/>
    <w:rsid w:val="00133A05"/>
    <w:rsid w:val="00134546"/>
    <w:rsid w:val="00134902"/>
    <w:rsid w:val="00135929"/>
    <w:rsid w:val="00135AE3"/>
    <w:rsid w:val="00135B99"/>
    <w:rsid w:val="001365F6"/>
    <w:rsid w:val="0013664D"/>
    <w:rsid w:val="00136B68"/>
    <w:rsid w:val="00136C5B"/>
    <w:rsid w:val="0014064B"/>
    <w:rsid w:val="00141A87"/>
    <w:rsid w:val="00141F6D"/>
    <w:rsid w:val="0014208B"/>
    <w:rsid w:val="001421E4"/>
    <w:rsid w:val="00143137"/>
    <w:rsid w:val="00143B84"/>
    <w:rsid w:val="00143CE4"/>
    <w:rsid w:val="00144559"/>
    <w:rsid w:val="00144FB1"/>
    <w:rsid w:val="001463CF"/>
    <w:rsid w:val="00146462"/>
    <w:rsid w:val="00146CE7"/>
    <w:rsid w:val="001474DB"/>
    <w:rsid w:val="00147D37"/>
    <w:rsid w:val="00147E56"/>
    <w:rsid w:val="00150CF9"/>
    <w:rsid w:val="001513F2"/>
    <w:rsid w:val="001516C1"/>
    <w:rsid w:val="0015307F"/>
    <w:rsid w:val="00153549"/>
    <w:rsid w:val="0015379A"/>
    <w:rsid w:val="00155BDF"/>
    <w:rsid w:val="001562D6"/>
    <w:rsid w:val="0015691B"/>
    <w:rsid w:val="00156ACC"/>
    <w:rsid w:val="001574CC"/>
    <w:rsid w:val="00157657"/>
    <w:rsid w:val="00157ECA"/>
    <w:rsid w:val="00160909"/>
    <w:rsid w:val="00161045"/>
    <w:rsid w:val="00161301"/>
    <w:rsid w:val="00165688"/>
    <w:rsid w:val="00165AC8"/>
    <w:rsid w:val="00165BBF"/>
    <w:rsid w:val="00165E16"/>
    <w:rsid w:val="00167358"/>
    <w:rsid w:val="00167975"/>
    <w:rsid w:val="00170AC7"/>
    <w:rsid w:val="00170EFF"/>
    <w:rsid w:val="00171056"/>
    <w:rsid w:val="001717DC"/>
    <w:rsid w:val="00171D27"/>
    <w:rsid w:val="00172013"/>
    <w:rsid w:val="00172A27"/>
    <w:rsid w:val="0017338A"/>
    <w:rsid w:val="001734FD"/>
    <w:rsid w:val="001739FC"/>
    <w:rsid w:val="001747FB"/>
    <w:rsid w:val="00175441"/>
    <w:rsid w:val="00175A6F"/>
    <w:rsid w:val="00175E3F"/>
    <w:rsid w:val="00175E56"/>
    <w:rsid w:val="001766A2"/>
    <w:rsid w:val="00176A23"/>
    <w:rsid w:val="001776D5"/>
    <w:rsid w:val="00177AE4"/>
    <w:rsid w:val="00177F86"/>
    <w:rsid w:val="001800F5"/>
    <w:rsid w:val="001801CE"/>
    <w:rsid w:val="00180DEF"/>
    <w:rsid w:val="00181296"/>
    <w:rsid w:val="00181620"/>
    <w:rsid w:val="0018220B"/>
    <w:rsid w:val="0018264B"/>
    <w:rsid w:val="0018303A"/>
    <w:rsid w:val="001833C8"/>
    <w:rsid w:val="0018381D"/>
    <w:rsid w:val="00183B08"/>
    <w:rsid w:val="00183B81"/>
    <w:rsid w:val="00183F32"/>
    <w:rsid w:val="00183F8D"/>
    <w:rsid w:val="001848BC"/>
    <w:rsid w:val="00186DD2"/>
    <w:rsid w:val="0018748B"/>
    <w:rsid w:val="001900DA"/>
    <w:rsid w:val="001903C2"/>
    <w:rsid w:val="001908CB"/>
    <w:rsid w:val="001909D7"/>
    <w:rsid w:val="00190E17"/>
    <w:rsid w:val="00191F7B"/>
    <w:rsid w:val="0019216B"/>
    <w:rsid w:val="00192A97"/>
    <w:rsid w:val="00192EF0"/>
    <w:rsid w:val="0019302E"/>
    <w:rsid w:val="001937AB"/>
    <w:rsid w:val="001941BD"/>
    <w:rsid w:val="0019454A"/>
    <w:rsid w:val="0019563B"/>
    <w:rsid w:val="001959A9"/>
    <w:rsid w:val="00195D82"/>
    <w:rsid w:val="00195FD5"/>
    <w:rsid w:val="001A0148"/>
    <w:rsid w:val="001A050F"/>
    <w:rsid w:val="001A0553"/>
    <w:rsid w:val="001A0696"/>
    <w:rsid w:val="001A173B"/>
    <w:rsid w:val="001A17DC"/>
    <w:rsid w:val="001A2081"/>
    <w:rsid w:val="001A3B09"/>
    <w:rsid w:val="001A414C"/>
    <w:rsid w:val="001A4421"/>
    <w:rsid w:val="001A47E3"/>
    <w:rsid w:val="001A4B45"/>
    <w:rsid w:val="001A5ABB"/>
    <w:rsid w:val="001A5C55"/>
    <w:rsid w:val="001A5D1E"/>
    <w:rsid w:val="001A606B"/>
    <w:rsid w:val="001A60E4"/>
    <w:rsid w:val="001A61F3"/>
    <w:rsid w:val="001A7788"/>
    <w:rsid w:val="001B0468"/>
    <w:rsid w:val="001B0499"/>
    <w:rsid w:val="001B0753"/>
    <w:rsid w:val="001B0E48"/>
    <w:rsid w:val="001B0F60"/>
    <w:rsid w:val="001B13FC"/>
    <w:rsid w:val="001B15C7"/>
    <w:rsid w:val="001B1847"/>
    <w:rsid w:val="001B1DED"/>
    <w:rsid w:val="001B2288"/>
    <w:rsid w:val="001B254B"/>
    <w:rsid w:val="001B2E06"/>
    <w:rsid w:val="001B35F3"/>
    <w:rsid w:val="001B3899"/>
    <w:rsid w:val="001B38B8"/>
    <w:rsid w:val="001B3971"/>
    <w:rsid w:val="001B3F52"/>
    <w:rsid w:val="001B3FF5"/>
    <w:rsid w:val="001B61C0"/>
    <w:rsid w:val="001B7690"/>
    <w:rsid w:val="001B79A3"/>
    <w:rsid w:val="001B7FE2"/>
    <w:rsid w:val="001C03CF"/>
    <w:rsid w:val="001C0B57"/>
    <w:rsid w:val="001C2460"/>
    <w:rsid w:val="001C2957"/>
    <w:rsid w:val="001C2C87"/>
    <w:rsid w:val="001C2E0F"/>
    <w:rsid w:val="001C2E48"/>
    <w:rsid w:val="001C39F2"/>
    <w:rsid w:val="001C3B0E"/>
    <w:rsid w:val="001C45B3"/>
    <w:rsid w:val="001C4D12"/>
    <w:rsid w:val="001C528B"/>
    <w:rsid w:val="001C6CF5"/>
    <w:rsid w:val="001C70AD"/>
    <w:rsid w:val="001C7625"/>
    <w:rsid w:val="001C7F2D"/>
    <w:rsid w:val="001D0A6C"/>
    <w:rsid w:val="001D0F5A"/>
    <w:rsid w:val="001D14DF"/>
    <w:rsid w:val="001D193D"/>
    <w:rsid w:val="001D2BCD"/>
    <w:rsid w:val="001D31D3"/>
    <w:rsid w:val="001D406B"/>
    <w:rsid w:val="001D43FB"/>
    <w:rsid w:val="001D46B4"/>
    <w:rsid w:val="001D4F8D"/>
    <w:rsid w:val="001D53B3"/>
    <w:rsid w:val="001D611A"/>
    <w:rsid w:val="001D650E"/>
    <w:rsid w:val="001D6F93"/>
    <w:rsid w:val="001D71E7"/>
    <w:rsid w:val="001D7629"/>
    <w:rsid w:val="001D77F7"/>
    <w:rsid w:val="001E0687"/>
    <w:rsid w:val="001E1000"/>
    <w:rsid w:val="001E1014"/>
    <w:rsid w:val="001E1036"/>
    <w:rsid w:val="001E1456"/>
    <w:rsid w:val="001E1459"/>
    <w:rsid w:val="001E172D"/>
    <w:rsid w:val="001E1BF8"/>
    <w:rsid w:val="001E2182"/>
    <w:rsid w:val="001E4087"/>
    <w:rsid w:val="001E479C"/>
    <w:rsid w:val="001E4F54"/>
    <w:rsid w:val="001E55A1"/>
    <w:rsid w:val="001E6A88"/>
    <w:rsid w:val="001E7096"/>
    <w:rsid w:val="001E7E1E"/>
    <w:rsid w:val="001F08C4"/>
    <w:rsid w:val="001F0E6B"/>
    <w:rsid w:val="001F0FA6"/>
    <w:rsid w:val="001F111F"/>
    <w:rsid w:val="001F12A3"/>
    <w:rsid w:val="001F12BF"/>
    <w:rsid w:val="001F1486"/>
    <w:rsid w:val="001F15B7"/>
    <w:rsid w:val="001F17AC"/>
    <w:rsid w:val="001F18F0"/>
    <w:rsid w:val="001F1BB9"/>
    <w:rsid w:val="001F2A67"/>
    <w:rsid w:val="001F2BB3"/>
    <w:rsid w:val="001F2C6E"/>
    <w:rsid w:val="001F328F"/>
    <w:rsid w:val="001F3B1A"/>
    <w:rsid w:val="001F45BD"/>
    <w:rsid w:val="001F4AFB"/>
    <w:rsid w:val="001F75DF"/>
    <w:rsid w:val="002003E1"/>
    <w:rsid w:val="00200F05"/>
    <w:rsid w:val="002017FD"/>
    <w:rsid w:val="00201C48"/>
    <w:rsid w:val="002029A8"/>
    <w:rsid w:val="00202C4A"/>
    <w:rsid w:val="002040C0"/>
    <w:rsid w:val="002042E1"/>
    <w:rsid w:val="00204A47"/>
    <w:rsid w:val="00204D0D"/>
    <w:rsid w:val="00205C51"/>
    <w:rsid w:val="002066CA"/>
    <w:rsid w:val="00206FCC"/>
    <w:rsid w:val="00207577"/>
    <w:rsid w:val="0020759F"/>
    <w:rsid w:val="00211EA3"/>
    <w:rsid w:val="00212590"/>
    <w:rsid w:val="00212A2C"/>
    <w:rsid w:val="00213A1A"/>
    <w:rsid w:val="00213C4D"/>
    <w:rsid w:val="00213EA7"/>
    <w:rsid w:val="00214DAA"/>
    <w:rsid w:val="002154F2"/>
    <w:rsid w:val="00215D59"/>
    <w:rsid w:val="00216F04"/>
    <w:rsid w:val="00216FE0"/>
    <w:rsid w:val="00217050"/>
    <w:rsid w:val="002177EA"/>
    <w:rsid w:val="00217AA1"/>
    <w:rsid w:val="0022088E"/>
    <w:rsid w:val="002212B6"/>
    <w:rsid w:val="00221D4C"/>
    <w:rsid w:val="00222750"/>
    <w:rsid w:val="0022294C"/>
    <w:rsid w:val="00222BCE"/>
    <w:rsid w:val="00223A73"/>
    <w:rsid w:val="00224062"/>
    <w:rsid w:val="00224BFE"/>
    <w:rsid w:val="00224EBA"/>
    <w:rsid w:val="002250D3"/>
    <w:rsid w:val="00225CD0"/>
    <w:rsid w:val="00226B96"/>
    <w:rsid w:val="002313C7"/>
    <w:rsid w:val="00231DC4"/>
    <w:rsid w:val="00232C5C"/>
    <w:rsid w:val="00233C8C"/>
    <w:rsid w:val="00234243"/>
    <w:rsid w:val="00234B3D"/>
    <w:rsid w:val="0023615A"/>
    <w:rsid w:val="00236B6C"/>
    <w:rsid w:val="00237683"/>
    <w:rsid w:val="00241D60"/>
    <w:rsid w:val="00241DF1"/>
    <w:rsid w:val="00242060"/>
    <w:rsid w:val="002427C5"/>
    <w:rsid w:val="0024455C"/>
    <w:rsid w:val="002445A7"/>
    <w:rsid w:val="002451AD"/>
    <w:rsid w:val="00245503"/>
    <w:rsid w:val="00245882"/>
    <w:rsid w:val="0024604F"/>
    <w:rsid w:val="00247720"/>
    <w:rsid w:val="002506D9"/>
    <w:rsid w:val="002508C1"/>
    <w:rsid w:val="0025091D"/>
    <w:rsid w:val="0025130B"/>
    <w:rsid w:val="00251390"/>
    <w:rsid w:val="002513F7"/>
    <w:rsid w:val="00252FC6"/>
    <w:rsid w:val="00253143"/>
    <w:rsid w:val="00253F81"/>
    <w:rsid w:val="00254CD6"/>
    <w:rsid w:val="00254DB9"/>
    <w:rsid w:val="0025509C"/>
    <w:rsid w:val="002550C4"/>
    <w:rsid w:val="00255C87"/>
    <w:rsid w:val="002568CC"/>
    <w:rsid w:val="00256A62"/>
    <w:rsid w:val="00256DB8"/>
    <w:rsid w:val="00260443"/>
    <w:rsid w:val="0026048C"/>
    <w:rsid w:val="00260B7C"/>
    <w:rsid w:val="00261078"/>
    <w:rsid w:val="0026109D"/>
    <w:rsid w:val="002636EB"/>
    <w:rsid w:val="00263B77"/>
    <w:rsid w:val="0026444D"/>
    <w:rsid w:val="00264A71"/>
    <w:rsid w:val="00264FC3"/>
    <w:rsid w:val="002653D7"/>
    <w:rsid w:val="0026584B"/>
    <w:rsid w:val="002661AB"/>
    <w:rsid w:val="00267CA4"/>
    <w:rsid w:val="00267E03"/>
    <w:rsid w:val="00270C34"/>
    <w:rsid w:val="0027138E"/>
    <w:rsid w:val="002716F9"/>
    <w:rsid w:val="00271F25"/>
    <w:rsid w:val="00271F47"/>
    <w:rsid w:val="00272000"/>
    <w:rsid w:val="0027412B"/>
    <w:rsid w:val="00274382"/>
    <w:rsid w:val="002743F4"/>
    <w:rsid w:val="00274916"/>
    <w:rsid w:val="00274C03"/>
    <w:rsid w:val="00275640"/>
    <w:rsid w:val="0027614B"/>
    <w:rsid w:val="00277485"/>
    <w:rsid w:val="002800FD"/>
    <w:rsid w:val="002804B9"/>
    <w:rsid w:val="002816E5"/>
    <w:rsid w:val="00281760"/>
    <w:rsid w:val="00281823"/>
    <w:rsid w:val="00281D78"/>
    <w:rsid w:val="00282806"/>
    <w:rsid w:val="00283BAF"/>
    <w:rsid w:val="00283F87"/>
    <w:rsid w:val="0028420D"/>
    <w:rsid w:val="00284524"/>
    <w:rsid w:val="00284AD7"/>
    <w:rsid w:val="00286556"/>
    <w:rsid w:val="00290A63"/>
    <w:rsid w:val="00291054"/>
    <w:rsid w:val="00291CD3"/>
    <w:rsid w:val="00292227"/>
    <w:rsid w:val="00292591"/>
    <w:rsid w:val="00293F6C"/>
    <w:rsid w:val="00293FC6"/>
    <w:rsid w:val="0029642B"/>
    <w:rsid w:val="002969A5"/>
    <w:rsid w:val="0029709C"/>
    <w:rsid w:val="00297790"/>
    <w:rsid w:val="00297A45"/>
    <w:rsid w:val="00297B80"/>
    <w:rsid w:val="002A0366"/>
    <w:rsid w:val="002A0630"/>
    <w:rsid w:val="002A08CF"/>
    <w:rsid w:val="002A0EE7"/>
    <w:rsid w:val="002A27EA"/>
    <w:rsid w:val="002A37F1"/>
    <w:rsid w:val="002A3AC4"/>
    <w:rsid w:val="002A4A39"/>
    <w:rsid w:val="002A509D"/>
    <w:rsid w:val="002A5513"/>
    <w:rsid w:val="002A5DE4"/>
    <w:rsid w:val="002A66FB"/>
    <w:rsid w:val="002A67CA"/>
    <w:rsid w:val="002A68F1"/>
    <w:rsid w:val="002A6B59"/>
    <w:rsid w:val="002A707B"/>
    <w:rsid w:val="002A70EE"/>
    <w:rsid w:val="002A7A43"/>
    <w:rsid w:val="002B0117"/>
    <w:rsid w:val="002B05D0"/>
    <w:rsid w:val="002B0B0E"/>
    <w:rsid w:val="002B1321"/>
    <w:rsid w:val="002B17A0"/>
    <w:rsid w:val="002B1A82"/>
    <w:rsid w:val="002B1E30"/>
    <w:rsid w:val="002B219A"/>
    <w:rsid w:val="002B22F3"/>
    <w:rsid w:val="002B2B43"/>
    <w:rsid w:val="002B46A9"/>
    <w:rsid w:val="002B4894"/>
    <w:rsid w:val="002B48FE"/>
    <w:rsid w:val="002B4A22"/>
    <w:rsid w:val="002B5C54"/>
    <w:rsid w:val="002B6E17"/>
    <w:rsid w:val="002B778B"/>
    <w:rsid w:val="002B7FD0"/>
    <w:rsid w:val="002C00D8"/>
    <w:rsid w:val="002C028E"/>
    <w:rsid w:val="002C04C4"/>
    <w:rsid w:val="002C0CFE"/>
    <w:rsid w:val="002C153B"/>
    <w:rsid w:val="002C157C"/>
    <w:rsid w:val="002C1AFD"/>
    <w:rsid w:val="002C1C90"/>
    <w:rsid w:val="002C1E2D"/>
    <w:rsid w:val="002C1F56"/>
    <w:rsid w:val="002C2526"/>
    <w:rsid w:val="002C29AC"/>
    <w:rsid w:val="002C33EE"/>
    <w:rsid w:val="002C340B"/>
    <w:rsid w:val="002C34CE"/>
    <w:rsid w:val="002C3952"/>
    <w:rsid w:val="002C3FC3"/>
    <w:rsid w:val="002C49A3"/>
    <w:rsid w:val="002C54C1"/>
    <w:rsid w:val="002C65E9"/>
    <w:rsid w:val="002C701B"/>
    <w:rsid w:val="002C715B"/>
    <w:rsid w:val="002C7EA2"/>
    <w:rsid w:val="002D129F"/>
    <w:rsid w:val="002D2830"/>
    <w:rsid w:val="002D295C"/>
    <w:rsid w:val="002D2B3E"/>
    <w:rsid w:val="002D35A2"/>
    <w:rsid w:val="002D35EC"/>
    <w:rsid w:val="002D3827"/>
    <w:rsid w:val="002D3E2C"/>
    <w:rsid w:val="002D4A9F"/>
    <w:rsid w:val="002D5FC3"/>
    <w:rsid w:val="002D6365"/>
    <w:rsid w:val="002D668E"/>
    <w:rsid w:val="002D733A"/>
    <w:rsid w:val="002D740A"/>
    <w:rsid w:val="002E058D"/>
    <w:rsid w:val="002E0908"/>
    <w:rsid w:val="002E2E5B"/>
    <w:rsid w:val="002E362C"/>
    <w:rsid w:val="002E41A2"/>
    <w:rsid w:val="002E46A8"/>
    <w:rsid w:val="002E486D"/>
    <w:rsid w:val="002E4B34"/>
    <w:rsid w:val="002E4F20"/>
    <w:rsid w:val="002E4F58"/>
    <w:rsid w:val="002E57E4"/>
    <w:rsid w:val="002E586B"/>
    <w:rsid w:val="002E58B2"/>
    <w:rsid w:val="002E5AE2"/>
    <w:rsid w:val="002E6B68"/>
    <w:rsid w:val="002E6C47"/>
    <w:rsid w:val="002E71C4"/>
    <w:rsid w:val="002F0177"/>
    <w:rsid w:val="002F05B8"/>
    <w:rsid w:val="002F0655"/>
    <w:rsid w:val="002F08D6"/>
    <w:rsid w:val="002F10BA"/>
    <w:rsid w:val="002F19DB"/>
    <w:rsid w:val="002F1C32"/>
    <w:rsid w:val="002F1CAA"/>
    <w:rsid w:val="002F2932"/>
    <w:rsid w:val="002F2AD7"/>
    <w:rsid w:val="002F2C1C"/>
    <w:rsid w:val="002F4820"/>
    <w:rsid w:val="002F5217"/>
    <w:rsid w:val="002F523D"/>
    <w:rsid w:val="002F5450"/>
    <w:rsid w:val="002F5793"/>
    <w:rsid w:val="002F6A99"/>
    <w:rsid w:val="002F6B61"/>
    <w:rsid w:val="002F7D76"/>
    <w:rsid w:val="002F7EE1"/>
    <w:rsid w:val="003003F0"/>
    <w:rsid w:val="003014F7"/>
    <w:rsid w:val="00301815"/>
    <w:rsid w:val="003018AD"/>
    <w:rsid w:val="00301AEF"/>
    <w:rsid w:val="00301B26"/>
    <w:rsid w:val="00302C05"/>
    <w:rsid w:val="0030364A"/>
    <w:rsid w:val="0030399D"/>
    <w:rsid w:val="00303ADA"/>
    <w:rsid w:val="00304304"/>
    <w:rsid w:val="003046B6"/>
    <w:rsid w:val="00304724"/>
    <w:rsid w:val="00304790"/>
    <w:rsid w:val="00305CDD"/>
    <w:rsid w:val="003062D4"/>
    <w:rsid w:val="003071A3"/>
    <w:rsid w:val="0030726B"/>
    <w:rsid w:val="00307ACC"/>
    <w:rsid w:val="0031002D"/>
    <w:rsid w:val="003101F0"/>
    <w:rsid w:val="00310421"/>
    <w:rsid w:val="003105AB"/>
    <w:rsid w:val="003108C6"/>
    <w:rsid w:val="00310B0B"/>
    <w:rsid w:val="00310B6B"/>
    <w:rsid w:val="003116E7"/>
    <w:rsid w:val="00311D6E"/>
    <w:rsid w:val="003122D7"/>
    <w:rsid w:val="00312CC7"/>
    <w:rsid w:val="00313228"/>
    <w:rsid w:val="00313598"/>
    <w:rsid w:val="0031372E"/>
    <w:rsid w:val="00313832"/>
    <w:rsid w:val="00313A57"/>
    <w:rsid w:val="00313CDF"/>
    <w:rsid w:val="00314147"/>
    <w:rsid w:val="0031426A"/>
    <w:rsid w:val="00314C7C"/>
    <w:rsid w:val="003150AF"/>
    <w:rsid w:val="003153EC"/>
    <w:rsid w:val="0031554E"/>
    <w:rsid w:val="00315856"/>
    <w:rsid w:val="00316326"/>
    <w:rsid w:val="00316563"/>
    <w:rsid w:val="00316BA6"/>
    <w:rsid w:val="00316C21"/>
    <w:rsid w:val="00317127"/>
    <w:rsid w:val="00317AD6"/>
    <w:rsid w:val="00317B34"/>
    <w:rsid w:val="00317E80"/>
    <w:rsid w:val="00321124"/>
    <w:rsid w:val="00321B79"/>
    <w:rsid w:val="003225CC"/>
    <w:rsid w:val="00322BBF"/>
    <w:rsid w:val="00323618"/>
    <w:rsid w:val="0032391E"/>
    <w:rsid w:val="00323D7D"/>
    <w:rsid w:val="00323F25"/>
    <w:rsid w:val="00323FBA"/>
    <w:rsid w:val="00325D16"/>
    <w:rsid w:val="00326111"/>
    <w:rsid w:val="003262CE"/>
    <w:rsid w:val="00326BA0"/>
    <w:rsid w:val="0032758F"/>
    <w:rsid w:val="00330757"/>
    <w:rsid w:val="00331556"/>
    <w:rsid w:val="003315EF"/>
    <w:rsid w:val="00331631"/>
    <w:rsid w:val="00331A01"/>
    <w:rsid w:val="00332DB6"/>
    <w:rsid w:val="003330EF"/>
    <w:rsid w:val="003338DB"/>
    <w:rsid w:val="003339BE"/>
    <w:rsid w:val="0033413A"/>
    <w:rsid w:val="00335158"/>
    <w:rsid w:val="003355A0"/>
    <w:rsid w:val="003369F4"/>
    <w:rsid w:val="00340350"/>
    <w:rsid w:val="003404EB"/>
    <w:rsid w:val="00341310"/>
    <w:rsid w:val="00341591"/>
    <w:rsid w:val="0034304E"/>
    <w:rsid w:val="003435E4"/>
    <w:rsid w:val="00343631"/>
    <w:rsid w:val="003436D2"/>
    <w:rsid w:val="00343904"/>
    <w:rsid w:val="003443E0"/>
    <w:rsid w:val="00344F53"/>
    <w:rsid w:val="00345523"/>
    <w:rsid w:val="00345E52"/>
    <w:rsid w:val="00346428"/>
    <w:rsid w:val="00346583"/>
    <w:rsid w:val="00346D7E"/>
    <w:rsid w:val="00347A18"/>
    <w:rsid w:val="00350022"/>
    <w:rsid w:val="0035007F"/>
    <w:rsid w:val="003500B1"/>
    <w:rsid w:val="00350A10"/>
    <w:rsid w:val="00351491"/>
    <w:rsid w:val="00353DF1"/>
    <w:rsid w:val="00354162"/>
    <w:rsid w:val="00354B81"/>
    <w:rsid w:val="00355452"/>
    <w:rsid w:val="003556A0"/>
    <w:rsid w:val="003556D5"/>
    <w:rsid w:val="00355D0B"/>
    <w:rsid w:val="00356AAD"/>
    <w:rsid w:val="00356DD4"/>
    <w:rsid w:val="00357605"/>
    <w:rsid w:val="0035765B"/>
    <w:rsid w:val="00357793"/>
    <w:rsid w:val="0036048E"/>
    <w:rsid w:val="003613BF"/>
    <w:rsid w:val="0036141E"/>
    <w:rsid w:val="00361ACF"/>
    <w:rsid w:val="00361C39"/>
    <w:rsid w:val="00361FF0"/>
    <w:rsid w:val="003622AC"/>
    <w:rsid w:val="00362D98"/>
    <w:rsid w:val="00363ABC"/>
    <w:rsid w:val="00364CC9"/>
    <w:rsid w:val="00365150"/>
    <w:rsid w:val="00366513"/>
    <w:rsid w:val="00366F45"/>
    <w:rsid w:val="00366F90"/>
    <w:rsid w:val="0036736F"/>
    <w:rsid w:val="00367859"/>
    <w:rsid w:val="00367E5D"/>
    <w:rsid w:val="00370424"/>
    <w:rsid w:val="003711F6"/>
    <w:rsid w:val="003715A6"/>
    <w:rsid w:val="00371D94"/>
    <w:rsid w:val="0037260D"/>
    <w:rsid w:val="00372802"/>
    <w:rsid w:val="00372D89"/>
    <w:rsid w:val="00373967"/>
    <w:rsid w:val="0037441B"/>
    <w:rsid w:val="00374439"/>
    <w:rsid w:val="003747D5"/>
    <w:rsid w:val="00374DAF"/>
    <w:rsid w:val="003750AD"/>
    <w:rsid w:val="0037553F"/>
    <w:rsid w:val="0037563A"/>
    <w:rsid w:val="00376522"/>
    <w:rsid w:val="003768CE"/>
    <w:rsid w:val="003768FA"/>
    <w:rsid w:val="00376950"/>
    <w:rsid w:val="003771CC"/>
    <w:rsid w:val="003805D5"/>
    <w:rsid w:val="0038062D"/>
    <w:rsid w:val="00380D17"/>
    <w:rsid w:val="00381851"/>
    <w:rsid w:val="003822C6"/>
    <w:rsid w:val="003827B4"/>
    <w:rsid w:val="0038361A"/>
    <w:rsid w:val="00383992"/>
    <w:rsid w:val="0038477B"/>
    <w:rsid w:val="00384860"/>
    <w:rsid w:val="00384FD6"/>
    <w:rsid w:val="00385273"/>
    <w:rsid w:val="00385415"/>
    <w:rsid w:val="0038575A"/>
    <w:rsid w:val="0038596D"/>
    <w:rsid w:val="00386C7E"/>
    <w:rsid w:val="00387C67"/>
    <w:rsid w:val="00391446"/>
    <w:rsid w:val="00391FFA"/>
    <w:rsid w:val="00392288"/>
    <w:rsid w:val="003925EF"/>
    <w:rsid w:val="00392F3D"/>
    <w:rsid w:val="00393076"/>
    <w:rsid w:val="00393234"/>
    <w:rsid w:val="00393A6C"/>
    <w:rsid w:val="00393C23"/>
    <w:rsid w:val="00393CD7"/>
    <w:rsid w:val="00394A96"/>
    <w:rsid w:val="003950EA"/>
    <w:rsid w:val="003957A3"/>
    <w:rsid w:val="00395ECF"/>
    <w:rsid w:val="003961F2"/>
    <w:rsid w:val="00396800"/>
    <w:rsid w:val="00397F57"/>
    <w:rsid w:val="003A07F9"/>
    <w:rsid w:val="003A0E84"/>
    <w:rsid w:val="003A21A7"/>
    <w:rsid w:val="003A29D5"/>
    <w:rsid w:val="003A2E66"/>
    <w:rsid w:val="003A2F34"/>
    <w:rsid w:val="003A3864"/>
    <w:rsid w:val="003A3D4B"/>
    <w:rsid w:val="003A4A05"/>
    <w:rsid w:val="003A580E"/>
    <w:rsid w:val="003A6C5F"/>
    <w:rsid w:val="003A6E4A"/>
    <w:rsid w:val="003A6FCE"/>
    <w:rsid w:val="003A71EA"/>
    <w:rsid w:val="003B007F"/>
    <w:rsid w:val="003B00F8"/>
    <w:rsid w:val="003B04AE"/>
    <w:rsid w:val="003B0CE1"/>
    <w:rsid w:val="003B12C6"/>
    <w:rsid w:val="003B2277"/>
    <w:rsid w:val="003B3444"/>
    <w:rsid w:val="003B3611"/>
    <w:rsid w:val="003B397D"/>
    <w:rsid w:val="003B3D17"/>
    <w:rsid w:val="003B43ED"/>
    <w:rsid w:val="003B50D0"/>
    <w:rsid w:val="003B5909"/>
    <w:rsid w:val="003B6100"/>
    <w:rsid w:val="003B6F2D"/>
    <w:rsid w:val="003B7017"/>
    <w:rsid w:val="003B77E5"/>
    <w:rsid w:val="003C0F5E"/>
    <w:rsid w:val="003C0FD5"/>
    <w:rsid w:val="003C119B"/>
    <w:rsid w:val="003C1717"/>
    <w:rsid w:val="003C1BD8"/>
    <w:rsid w:val="003C3443"/>
    <w:rsid w:val="003C3F9F"/>
    <w:rsid w:val="003C4131"/>
    <w:rsid w:val="003C43F4"/>
    <w:rsid w:val="003C50A3"/>
    <w:rsid w:val="003C51DA"/>
    <w:rsid w:val="003C538B"/>
    <w:rsid w:val="003C5FAD"/>
    <w:rsid w:val="003C63B7"/>
    <w:rsid w:val="003C6E6D"/>
    <w:rsid w:val="003C6EDA"/>
    <w:rsid w:val="003C7446"/>
    <w:rsid w:val="003C765D"/>
    <w:rsid w:val="003C7716"/>
    <w:rsid w:val="003C7970"/>
    <w:rsid w:val="003C7CD7"/>
    <w:rsid w:val="003C7E1A"/>
    <w:rsid w:val="003D02F1"/>
    <w:rsid w:val="003D1852"/>
    <w:rsid w:val="003D1B9D"/>
    <w:rsid w:val="003D1E9B"/>
    <w:rsid w:val="003D20B8"/>
    <w:rsid w:val="003D21A5"/>
    <w:rsid w:val="003D2933"/>
    <w:rsid w:val="003D316B"/>
    <w:rsid w:val="003D32C5"/>
    <w:rsid w:val="003D33F0"/>
    <w:rsid w:val="003D3405"/>
    <w:rsid w:val="003D38BE"/>
    <w:rsid w:val="003D38D5"/>
    <w:rsid w:val="003D3A5B"/>
    <w:rsid w:val="003D5C89"/>
    <w:rsid w:val="003D5EC6"/>
    <w:rsid w:val="003D5FDF"/>
    <w:rsid w:val="003D5FEF"/>
    <w:rsid w:val="003D6520"/>
    <w:rsid w:val="003D6FB7"/>
    <w:rsid w:val="003D71C6"/>
    <w:rsid w:val="003D7BC3"/>
    <w:rsid w:val="003D7FBA"/>
    <w:rsid w:val="003E0D4B"/>
    <w:rsid w:val="003E1A44"/>
    <w:rsid w:val="003E1AF9"/>
    <w:rsid w:val="003E1DFD"/>
    <w:rsid w:val="003E207D"/>
    <w:rsid w:val="003E25E4"/>
    <w:rsid w:val="003E2ACA"/>
    <w:rsid w:val="003E3532"/>
    <w:rsid w:val="003E35C8"/>
    <w:rsid w:val="003E3973"/>
    <w:rsid w:val="003E3B36"/>
    <w:rsid w:val="003E4082"/>
    <w:rsid w:val="003E49FA"/>
    <w:rsid w:val="003E5C49"/>
    <w:rsid w:val="003E6275"/>
    <w:rsid w:val="003E6636"/>
    <w:rsid w:val="003E73A2"/>
    <w:rsid w:val="003E76A8"/>
    <w:rsid w:val="003E7945"/>
    <w:rsid w:val="003F0129"/>
    <w:rsid w:val="003F11D6"/>
    <w:rsid w:val="003F135D"/>
    <w:rsid w:val="003F1F4A"/>
    <w:rsid w:val="003F28B4"/>
    <w:rsid w:val="003F2BC5"/>
    <w:rsid w:val="003F2E28"/>
    <w:rsid w:val="003F3746"/>
    <w:rsid w:val="003F4A45"/>
    <w:rsid w:val="003F4F4A"/>
    <w:rsid w:val="003F577C"/>
    <w:rsid w:val="003F579E"/>
    <w:rsid w:val="003F5D87"/>
    <w:rsid w:val="003F6F8D"/>
    <w:rsid w:val="003F719E"/>
    <w:rsid w:val="003F71A3"/>
    <w:rsid w:val="003F773F"/>
    <w:rsid w:val="003F77E2"/>
    <w:rsid w:val="003F7F1B"/>
    <w:rsid w:val="003F7FFB"/>
    <w:rsid w:val="00400938"/>
    <w:rsid w:val="00400B5B"/>
    <w:rsid w:val="00400EA1"/>
    <w:rsid w:val="00400EC2"/>
    <w:rsid w:val="004018F5"/>
    <w:rsid w:val="0040198B"/>
    <w:rsid w:val="004021CA"/>
    <w:rsid w:val="004022CB"/>
    <w:rsid w:val="0040268E"/>
    <w:rsid w:val="004031D3"/>
    <w:rsid w:val="00403637"/>
    <w:rsid w:val="004046B8"/>
    <w:rsid w:val="00404C60"/>
    <w:rsid w:val="00405007"/>
    <w:rsid w:val="00405547"/>
    <w:rsid w:val="00405D78"/>
    <w:rsid w:val="00406383"/>
    <w:rsid w:val="00406B65"/>
    <w:rsid w:val="00407401"/>
    <w:rsid w:val="004076B0"/>
    <w:rsid w:val="004079EC"/>
    <w:rsid w:val="00407FCC"/>
    <w:rsid w:val="0041058E"/>
    <w:rsid w:val="004110DA"/>
    <w:rsid w:val="0041273B"/>
    <w:rsid w:val="004127F9"/>
    <w:rsid w:val="0041313A"/>
    <w:rsid w:val="004132E8"/>
    <w:rsid w:val="00414395"/>
    <w:rsid w:val="00414423"/>
    <w:rsid w:val="00415A40"/>
    <w:rsid w:val="00415C06"/>
    <w:rsid w:val="00415E27"/>
    <w:rsid w:val="00416289"/>
    <w:rsid w:val="004168A7"/>
    <w:rsid w:val="00416E24"/>
    <w:rsid w:val="00417096"/>
    <w:rsid w:val="00417400"/>
    <w:rsid w:val="004174CA"/>
    <w:rsid w:val="00417A91"/>
    <w:rsid w:val="00420CA3"/>
    <w:rsid w:val="00421A7E"/>
    <w:rsid w:val="004222F5"/>
    <w:rsid w:val="004229BC"/>
    <w:rsid w:val="00422A18"/>
    <w:rsid w:val="00422AD9"/>
    <w:rsid w:val="004232E9"/>
    <w:rsid w:val="00423933"/>
    <w:rsid w:val="00423D8A"/>
    <w:rsid w:val="004244E0"/>
    <w:rsid w:val="00426E63"/>
    <w:rsid w:val="00427189"/>
    <w:rsid w:val="004275A5"/>
    <w:rsid w:val="004303D4"/>
    <w:rsid w:val="0043044E"/>
    <w:rsid w:val="0043063C"/>
    <w:rsid w:val="00430767"/>
    <w:rsid w:val="00431786"/>
    <w:rsid w:val="004323CD"/>
    <w:rsid w:val="00433231"/>
    <w:rsid w:val="004332B3"/>
    <w:rsid w:val="0043366C"/>
    <w:rsid w:val="004336BD"/>
    <w:rsid w:val="0043471F"/>
    <w:rsid w:val="00435845"/>
    <w:rsid w:val="0043654A"/>
    <w:rsid w:val="0043686F"/>
    <w:rsid w:val="00436997"/>
    <w:rsid w:val="0043739C"/>
    <w:rsid w:val="0043789D"/>
    <w:rsid w:val="0044055C"/>
    <w:rsid w:val="0044098E"/>
    <w:rsid w:val="0044166B"/>
    <w:rsid w:val="00441EBE"/>
    <w:rsid w:val="00441F91"/>
    <w:rsid w:val="00441F99"/>
    <w:rsid w:val="00442350"/>
    <w:rsid w:val="004426F1"/>
    <w:rsid w:val="00442821"/>
    <w:rsid w:val="00442CB8"/>
    <w:rsid w:val="004431EC"/>
    <w:rsid w:val="0044578E"/>
    <w:rsid w:val="0044657A"/>
    <w:rsid w:val="00446A35"/>
    <w:rsid w:val="00447C86"/>
    <w:rsid w:val="004502CD"/>
    <w:rsid w:val="00450841"/>
    <w:rsid w:val="00451A48"/>
    <w:rsid w:val="00451DF8"/>
    <w:rsid w:val="00452128"/>
    <w:rsid w:val="0045384F"/>
    <w:rsid w:val="00456167"/>
    <w:rsid w:val="004564D7"/>
    <w:rsid w:val="00456A07"/>
    <w:rsid w:val="004570C3"/>
    <w:rsid w:val="004576DF"/>
    <w:rsid w:val="00460F99"/>
    <w:rsid w:val="0046119A"/>
    <w:rsid w:val="004612C4"/>
    <w:rsid w:val="0046198C"/>
    <w:rsid w:val="0046224D"/>
    <w:rsid w:val="004634B6"/>
    <w:rsid w:val="00463B89"/>
    <w:rsid w:val="00464894"/>
    <w:rsid w:val="00464BE1"/>
    <w:rsid w:val="00464EA7"/>
    <w:rsid w:val="0046566E"/>
    <w:rsid w:val="004659C3"/>
    <w:rsid w:val="00466A71"/>
    <w:rsid w:val="00466F89"/>
    <w:rsid w:val="00467475"/>
    <w:rsid w:val="00470419"/>
    <w:rsid w:val="00471823"/>
    <w:rsid w:val="00471BF3"/>
    <w:rsid w:val="0047264B"/>
    <w:rsid w:val="00472B5E"/>
    <w:rsid w:val="0047329C"/>
    <w:rsid w:val="00473388"/>
    <w:rsid w:val="00475144"/>
    <w:rsid w:val="00475A3F"/>
    <w:rsid w:val="00476646"/>
    <w:rsid w:val="00477BD3"/>
    <w:rsid w:val="00477BF7"/>
    <w:rsid w:val="00481820"/>
    <w:rsid w:val="00482970"/>
    <w:rsid w:val="0048300C"/>
    <w:rsid w:val="00483603"/>
    <w:rsid w:val="00483C84"/>
    <w:rsid w:val="00484BCD"/>
    <w:rsid w:val="00486BB2"/>
    <w:rsid w:val="004871E4"/>
    <w:rsid w:val="0048721C"/>
    <w:rsid w:val="004877A8"/>
    <w:rsid w:val="00490843"/>
    <w:rsid w:val="00490D3C"/>
    <w:rsid w:val="00491527"/>
    <w:rsid w:val="00491BBF"/>
    <w:rsid w:val="00492D70"/>
    <w:rsid w:val="0049356F"/>
    <w:rsid w:val="00493C8D"/>
    <w:rsid w:val="00493D8C"/>
    <w:rsid w:val="00494475"/>
    <w:rsid w:val="004948E7"/>
    <w:rsid w:val="00494A9A"/>
    <w:rsid w:val="00494B53"/>
    <w:rsid w:val="00495017"/>
    <w:rsid w:val="004952D6"/>
    <w:rsid w:val="004955E3"/>
    <w:rsid w:val="00495AA3"/>
    <w:rsid w:val="00495ADD"/>
    <w:rsid w:val="00495FC3"/>
    <w:rsid w:val="004963FA"/>
    <w:rsid w:val="0049655F"/>
    <w:rsid w:val="00496C52"/>
    <w:rsid w:val="00497320"/>
    <w:rsid w:val="004A02E2"/>
    <w:rsid w:val="004A0311"/>
    <w:rsid w:val="004A09CD"/>
    <w:rsid w:val="004A0C7C"/>
    <w:rsid w:val="004A0D48"/>
    <w:rsid w:val="004A0E3C"/>
    <w:rsid w:val="004A0FAC"/>
    <w:rsid w:val="004A11B1"/>
    <w:rsid w:val="004A1525"/>
    <w:rsid w:val="004A17BF"/>
    <w:rsid w:val="004A18DB"/>
    <w:rsid w:val="004A2EB7"/>
    <w:rsid w:val="004A3801"/>
    <w:rsid w:val="004A3886"/>
    <w:rsid w:val="004A45AA"/>
    <w:rsid w:val="004A4E9C"/>
    <w:rsid w:val="004A695B"/>
    <w:rsid w:val="004A7565"/>
    <w:rsid w:val="004A7B1F"/>
    <w:rsid w:val="004B0371"/>
    <w:rsid w:val="004B10E3"/>
    <w:rsid w:val="004B16C9"/>
    <w:rsid w:val="004B27F5"/>
    <w:rsid w:val="004B3042"/>
    <w:rsid w:val="004B3571"/>
    <w:rsid w:val="004B3666"/>
    <w:rsid w:val="004B61D1"/>
    <w:rsid w:val="004B6C47"/>
    <w:rsid w:val="004B79D3"/>
    <w:rsid w:val="004B7B4A"/>
    <w:rsid w:val="004B7B5E"/>
    <w:rsid w:val="004B7C31"/>
    <w:rsid w:val="004B7FA4"/>
    <w:rsid w:val="004C0487"/>
    <w:rsid w:val="004C054E"/>
    <w:rsid w:val="004C0D84"/>
    <w:rsid w:val="004C1875"/>
    <w:rsid w:val="004C1CAD"/>
    <w:rsid w:val="004C210C"/>
    <w:rsid w:val="004C505F"/>
    <w:rsid w:val="004C547F"/>
    <w:rsid w:val="004C5E52"/>
    <w:rsid w:val="004C729F"/>
    <w:rsid w:val="004C7EDE"/>
    <w:rsid w:val="004D06F4"/>
    <w:rsid w:val="004D1765"/>
    <w:rsid w:val="004D2535"/>
    <w:rsid w:val="004D25A3"/>
    <w:rsid w:val="004D2D30"/>
    <w:rsid w:val="004D329D"/>
    <w:rsid w:val="004D32C6"/>
    <w:rsid w:val="004D4097"/>
    <w:rsid w:val="004D4130"/>
    <w:rsid w:val="004D4205"/>
    <w:rsid w:val="004D44FA"/>
    <w:rsid w:val="004D4867"/>
    <w:rsid w:val="004D4F2F"/>
    <w:rsid w:val="004D55D7"/>
    <w:rsid w:val="004D58DE"/>
    <w:rsid w:val="004D5DF2"/>
    <w:rsid w:val="004D5E24"/>
    <w:rsid w:val="004D6366"/>
    <w:rsid w:val="004D7564"/>
    <w:rsid w:val="004D75A3"/>
    <w:rsid w:val="004D7620"/>
    <w:rsid w:val="004D7C78"/>
    <w:rsid w:val="004E0524"/>
    <w:rsid w:val="004E1757"/>
    <w:rsid w:val="004E2219"/>
    <w:rsid w:val="004E2D95"/>
    <w:rsid w:val="004E2EB7"/>
    <w:rsid w:val="004E356F"/>
    <w:rsid w:val="004E3A18"/>
    <w:rsid w:val="004E414F"/>
    <w:rsid w:val="004E41C1"/>
    <w:rsid w:val="004E4658"/>
    <w:rsid w:val="004E6158"/>
    <w:rsid w:val="004E689E"/>
    <w:rsid w:val="004E6ABB"/>
    <w:rsid w:val="004E717E"/>
    <w:rsid w:val="004E74F9"/>
    <w:rsid w:val="004E776A"/>
    <w:rsid w:val="004E7BBE"/>
    <w:rsid w:val="004E7FC8"/>
    <w:rsid w:val="004F0930"/>
    <w:rsid w:val="004F0FC5"/>
    <w:rsid w:val="004F16E2"/>
    <w:rsid w:val="004F1C20"/>
    <w:rsid w:val="004F22F5"/>
    <w:rsid w:val="004F234E"/>
    <w:rsid w:val="004F36FD"/>
    <w:rsid w:val="004F3A19"/>
    <w:rsid w:val="004F3A22"/>
    <w:rsid w:val="004F4242"/>
    <w:rsid w:val="004F4FEA"/>
    <w:rsid w:val="004F5414"/>
    <w:rsid w:val="004F7A1D"/>
    <w:rsid w:val="0050186E"/>
    <w:rsid w:val="00501B09"/>
    <w:rsid w:val="0050248E"/>
    <w:rsid w:val="00502786"/>
    <w:rsid w:val="00503319"/>
    <w:rsid w:val="00503922"/>
    <w:rsid w:val="00503EF7"/>
    <w:rsid w:val="00504204"/>
    <w:rsid w:val="00505D35"/>
    <w:rsid w:val="005077B7"/>
    <w:rsid w:val="005077BD"/>
    <w:rsid w:val="0050787F"/>
    <w:rsid w:val="00507D4D"/>
    <w:rsid w:val="00510827"/>
    <w:rsid w:val="0051083F"/>
    <w:rsid w:val="00510DEC"/>
    <w:rsid w:val="00511AAC"/>
    <w:rsid w:val="005127F7"/>
    <w:rsid w:val="00512954"/>
    <w:rsid w:val="00513360"/>
    <w:rsid w:val="005135EB"/>
    <w:rsid w:val="0051372F"/>
    <w:rsid w:val="0051393F"/>
    <w:rsid w:val="00513BB7"/>
    <w:rsid w:val="0051443F"/>
    <w:rsid w:val="00514A60"/>
    <w:rsid w:val="00514DBE"/>
    <w:rsid w:val="005152D4"/>
    <w:rsid w:val="00515750"/>
    <w:rsid w:val="00515FA8"/>
    <w:rsid w:val="00516AC9"/>
    <w:rsid w:val="0051796B"/>
    <w:rsid w:val="00517D9C"/>
    <w:rsid w:val="005202E7"/>
    <w:rsid w:val="00521121"/>
    <w:rsid w:val="00521759"/>
    <w:rsid w:val="005228BF"/>
    <w:rsid w:val="00522B64"/>
    <w:rsid w:val="00522E7A"/>
    <w:rsid w:val="00523B30"/>
    <w:rsid w:val="00524A6A"/>
    <w:rsid w:val="00524E33"/>
    <w:rsid w:val="00525611"/>
    <w:rsid w:val="0052567B"/>
    <w:rsid w:val="00525924"/>
    <w:rsid w:val="005268E0"/>
    <w:rsid w:val="005269DF"/>
    <w:rsid w:val="00527178"/>
    <w:rsid w:val="00527417"/>
    <w:rsid w:val="0052747C"/>
    <w:rsid w:val="005278E1"/>
    <w:rsid w:val="00531696"/>
    <w:rsid w:val="00531FD6"/>
    <w:rsid w:val="00531FE6"/>
    <w:rsid w:val="0053222A"/>
    <w:rsid w:val="0053273D"/>
    <w:rsid w:val="005327C7"/>
    <w:rsid w:val="00532A37"/>
    <w:rsid w:val="00532BB5"/>
    <w:rsid w:val="0053301E"/>
    <w:rsid w:val="00533580"/>
    <w:rsid w:val="00533B65"/>
    <w:rsid w:val="00535324"/>
    <w:rsid w:val="00536087"/>
    <w:rsid w:val="005362CB"/>
    <w:rsid w:val="005363CC"/>
    <w:rsid w:val="00536716"/>
    <w:rsid w:val="00536E1F"/>
    <w:rsid w:val="005372D4"/>
    <w:rsid w:val="00537710"/>
    <w:rsid w:val="00537A9E"/>
    <w:rsid w:val="00540BE9"/>
    <w:rsid w:val="00540C48"/>
    <w:rsid w:val="00540DAD"/>
    <w:rsid w:val="00541662"/>
    <w:rsid w:val="00543021"/>
    <w:rsid w:val="00544989"/>
    <w:rsid w:val="00544E1D"/>
    <w:rsid w:val="00546212"/>
    <w:rsid w:val="00546252"/>
    <w:rsid w:val="00546344"/>
    <w:rsid w:val="005465D1"/>
    <w:rsid w:val="00546947"/>
    <w:rsid w:val="00547591"/>
    <w:rsid w:val="00547F9D"/>
    <w:rsid w:val="005501D8"/>
    <w:rsid w:val="00550D7E"/>
    <w:rsid w:val="00551D1F"/>
    <w:rsid w:val="005521AB"/>
    <w:rsid w:val="005523D5"/>
    <w:rsid w:val="00552578"/>
    <w:rsid w:val="00552DCB"/>
    <w:rsid w:val="00553110"/>
    <w:rsid w:val="00554512"/>
    <w:rsid w:val="005549ED"/>
    <w:rsid w:val="00555820"/>
    <w:rsid w:val="00555C99"/>
    <w:rsid w:val="00555FEF"/>
    <w:rsid w:val="00556072"/>
    <w:rsid w:val="0055608B"/>
    <w:rsid w:val="00556B55"/>
    <w:rsid w:val="00557221"/>
    <w:rsid w:val="0055780E"/>
    <w:rsid w:val="00557ADA"/>
    <w:rsid w:val="00561158"/>
    <w:rsid w:val="005614FC"/>
    <w:rsid w:val="0056165A"/>
    <w:rsid w:val="0056173E"/>
    <w:rsid w:val="00561FD3"/>
    <w:rsid w:val="0056252A"/>
    <w:rsid w:val="00563DF2"/>
    <w:rsid w:val="005643B9"/>
    <w:rsid w:val="0056456F"/>
    <w:rsid w:val="00564779"/>
    <w:rsid w:val="005649A5"/>
    <w:rsid w:val="00564C90"/>
    <w:rsid w:val="005652DC"/>
    <w:rsid w:val="00566128"/>
    <w:rsid w:val="0056670D"/>
    <w:rsid w:val="0056681A"/>
    <w:rsid w:val="00566F35"/>
    <w:rsid w:val="00567216"/>
    <w:rsid w:val="005673D3"/>
    <w:rsid w:val="0056760F"/>
    <w:rsid w:val="0056779E"/>
    <w:rsid w:val="00570635"/>
    <w:rsid w:val="00570A3B"/>
    <w:rsid w:val="0057104B"/>
    <w:rsid w:val="00572BCD"/>
    <w:rsid w:val="00573270"/>
    <w:rsid w:val="00573410"/>
    <w:rsid w:val="0057432D"/>
    <w:rsid w:val="00574DCF"/>
    <w:rsid w:val="00575125"/>
    <w:rsid w:val="00575373"/>
    <w:rsid w:val="00575667"/>
    <w:rsid w:val="0057619B"/>
    <w:rsid w:val="00576736"/>
    <w:rsid w:val="0057721D"/>
    <w:rsid w:val="005773B4"/>
    <w:rsid w:val="00577987"/>
    <w:rsid w:val="00577EF0"/>
    <w:rsid w:val="005801EB"/>
    <w:rsid w:val="00580E0D"/>
    <w:rsid w:val="00580F54"/>
    <w:rsid w:val="0058180B"/>
    <w:rsid w:val="00581B3E"/>
    <w:rsid w:val="005822B7"/>
    <w:rsid w:val="00582633"/>
    <w:rsid w:val="005828EC"/>
    <w:rsid w:val="00582E95"/>
    <w:rsid w:val="0058304C"/>
    <w:rsid w:val="0058361B"/>
    <w:rsid w:val="005850D4"/>
    <w:rsid w:val="00585F3A"/>
    <w:rsid w:val="00586438"/>
    <w:rsid w:val="0058647C"/>
    <w:rsid w:val="0058655D"/>
    <w:rsid w:val="00586645"/>
    <w:rsid w:val="00586D10"/>
    <w:rsid w:val="005871DE"/>
    <w:rsid w:val="005872C1"/>
    <w:rsid w:val="005878B5"/>
    <w:rsid w:val="00587DB2"/>
    <w:rsid w:val="00590359"/>
    <w:rsid w:val="00590412"/>
    <w:rsid w:val="00590E9F"/>
    <w:rsid w:val="00591762"/>
    <w:rsid w:val="00591887"/>
    <w:rsid w:val="00591EE7"/>
    <w:rsid w:val="00592601"/>
    <w:rsid w:val="005938E4"/>
    <w:rsid w:val="00594217"/>
    <w:rsid w:val="0059460C"/>
    <w:rsid w:val="00594862"/>
    <w:rsid w:val="00594D5A"/>
    <w:rsid w:val="00594E71"/>
    <w:rsid w:val="0059523F"/>
    <w:rsid w:val="00595689"/>
    <w:rsid w:val="005956D4"/>
    <w:rsid w:val="00595731"/>
    <w:rsid w:val="00596E4F"/>
    <w:rsid w:val="005974E2"/>
    <w:rsid w:val="00597743"/>
    <w:rsid w:val="00597B1B"/>
    <w:rsid w:val="005A05CD"/>
    <w:rsid w:val="005A0A66"/>
    <w:rsid w:val="005A1349"/>
    <w:rsid w:val="005A245C"/>
    <w:rsid w:val="005A26E4"/>
    <w:rsid w:val="005A2898"/>
    <w:rsid w:val="005A29AD"/>
    <w:rsid w:val="005A3CFF"/>
    <w:rsid w:val="005A43C4"/>
    <w:rsid w:val="005A5E1C"/>
    <w:rsid w:val="005A6B1D"/>
    <w:rsid w:val="005A722C"/>
    <w:rsid w:val="005B0808"/>
    <w:rsid w:val="005B1263"/>
    <w:rsid w:val="005B227C"/>
    <w:rsid w:val="005B24E3"/>
    <w:rsid w:val="005B2752"/>
    <w:rsid w:val="005B2992"/>
    <w:rsid w:val="005B29BF"/>
    <w:rsid w:val="005B2F50"/>
    <w:rsid w:val="005B33AA"/>
    <w:rsid w:val="005B3492"/>
    <w:rsid w:val="005B3990"/>
    <w:rsid w:val="005B3C1E"/>
    <w:rsid w:val="005B50FE"/>
    <w:rsid w:val="005B510C"/>
    <w:rsid w:val="005B5AAC"/>
    <w:rsid w:val="005B5CBA"/>
    <w:rsid w:val="005C00CD"/>
    <w:rsid w:val="005C0327"/>
    <w:rsid w:val="005C0841"/>
    <w:rsid w:val="005C08AF"/>
    <w:rsid w:val="005C204A"/>
    <w:rsid w:val="005C2585"/>
    <w:rsid w:val="005C3A9F"/>
    <w:rsid w:val="005C3AB4"/>
    <w:rsid w:val="005C4021"/>
    <w:rsid w:val="005C427A"/>
    <w:rsid w:val="005C478F"/>
    <w:rsid w:val="005C5F21"/>
    <w:rsid w:val="005C61C7"/>
    <w:rsid w:val="005C6C86"/>
    <w:rsid w:val="005C7324"/>
    <w:rsid w:val="005C737C"/>
    <w:rsid w:val="005D075D"/>
    <w:rsid w:val="005D0AE3"/>
    <w:rsid w:val="005D1389"/>
    <w:rsid w:val="005D1447"/>
    <w:rsid w:val="005D1A68"/>
    <w:rsid w:val="005D1B10"/>
    <w:rsid w:val="005D2639"/>
    <w:rsid w:val="005D2BFF"/>
    <w:rsid w:val="005D3B77"/>
    <w:rsid w:val="005D3D40"/>
    <w:rsid w:val="005D3F1C"/>
    <w:rsid w:val="005D4EB2"/>
    <w:rsid w:val="005D50D3"/>
    <w:rsid w:val="005D61A6"/>
    <w:rsid w:val="005D6814"/>
    <w:rsid w:val="005D702A"/>
    <w:rsid w:val="005D74A8"/>
    <w:rsid w:val="005D7D42"/>
    <w:rsid w:val="005D7D80"/>
    <w:rsid w:val="005E0F76"/>
    <w:rsid w:val="005E14A7"/>
    <w:rsid w:val="005E1D8A"/>
    <w:rsid w:val="005E25DA"/>
    <w:rsid w:val="005E27C9"/>
    <w:rsid w:val="005E317A"/>
    <w:rsid w:val="005E5C79"/>
    <w:rsid w:val="005E5EA9"/>
    <w:rsid w:val="005E68AC"/>
    <w:rsid w:val="005E71E2"/>
    <w:rsid w:val="005E71EC"/>
    <w:rsid w:val="005E7695"/>
    <w:rsid w:val="005F0417"/>
    <w:rsid w:val="005F115C"/>
    <w:rsid w:val="005F1B40"/>
    <w:rsid w:val="005F3525"/>
    <w:rsid w:val="005F511B"/>
    <w:rsid w:val="005F5809"/>
    <w:rsid w:val="005F5C69"/>
    <w:rsid w:val="005F5D1C"/>
    <w:rsid w:val="005F6CF2"/>
    <w:rsid w:val="00600A69"/>
    <w:rsid w:val="006022B7"/>
    <w:rsid w:val="00602BF3"/>
    <w:rsid w:val="00602DD5"/>
    <w:rsid w:val="0060304B"/>
    <w:rsid w:val="00603C43"/>
    <w:rsid w:val="0060454A"/>
    <w:rsid w:val="00605D37"/>
    <w:rsid w:val="00606280"/>
    <w:rsid w:val="006066B8"/>
    <w:rsid w:val="006068B4"/>
    <w:rsid w:val="00606A7C"/>
    <w:rsid w:val="00606B24"/>
    <w:rsid w:val="00607839"/>
    <w:rsid w:val="0060789F"/>
    <w:rsid w:val="00610262"/>
    <w:rsid w:val="006106F0"/>
    <w:rsid w:val="00610BB1"/>
    <w:rsid w:val="00610CBC"/>
    <w:rsid w:val="006113D6"/>
    <w:rsid w:val="00611C91"/>
    <w:rsid w:val="006124CB"/>
    <w:rsid w:val="0061363B"/>
    <w:rsid w:val="00613955"/>
    <w:rsid w:val="00613BFB"/>
    <w:rsid w:val="00613DB6"/>
    <w:rsid w:val="00613EAD"/>
    <w:rsid w:val="0061458A"/>
    <w:rsid w:val="00614A66"/>
    <w:rsid w:val="006157AA"/>
    <w:rsid w:val="00616318"/>
    <w:rsid w:val="00616760"/>
    <w:rsid w:val="00616E2D"/>
    <w:rsid w:val="00617104"/>
    <w:rsid w:val="006179E8"/>
    <w:rsid w:val="006204B5"/>
    <w:rsid w:val="00622166"/>
    <w:rsid w:val="00622538"/>
    <w:rsid w:val="00622AB7"/>
    <w:rsid w:val="00624052"/>
    <w:rsid w:val="00624369"/>
    <w:rsid w:val="006243F9"/>
    <w:rsid w:val="006258D2"/>
    <w:rsid w:val="0062647C"/>
    <w:rsid w:val="006267CD"/>
    <w:rsid w:val="006269C6"/>
    <w:rsid w:val="00626DE7"/>
    <w:rsid w:val="0062786F"/>
    <w:rsid w:val="00627B25"/>
    <w:rsid w:val="00627F3C"/>
    <w:rsid w:val="006300D9"/>
    <w:rsid w:val="00630447"/>
    <w:rsid w:val="00630859"/>
    <w:rsid w:val="006318F9"/>
    <w:rsid w:val="00631ADD"/>
    <w:rsid w:val="00632D67"/>
    <w:rsid w:val="0063326A"/>
    <w:rsid w:val="00633B98"/>
    <w:rsid w:val="00633CB0"/>
    <w:rsid w:val="00633E67"/>
    <w:rsid w:val="00633FA6"/>
    <w:rsid w:val="00634055"/>
    <w:rsid w:val="00635A5A"/>
    <w:rsid w:val="00636135"/>
    <w:rsid w:val="00636139"/>
    <w:rsid w:val="00636188"/>
    <w:rsid w:val="006364A4"/>
    <w:rsid w:val="006366C1"/>
    <w:rsid w:val="00637371"/>
    <w:rsid w:val="006378A0"/>
    <w:rsid w:val="00637AB6"/>
    <w:rsid w:val="00637AF2"/>
    <w:rsid w:val="00637F75"/>
    <w:rsid w:val="006403C7"/>
    <w:rsid w:val="00640C64"/>
    <w:rsid w:val="006412A4"/>
    <w:rsid w:val="006416B3"/>
    <w:rsid w:val="00641DAF"/>
    <w:rsid w:val="00641E0C"/>
    <w:rsid w:val="00642C8C"/>
    <w:rsid w:val="0064413F"/>
    <w:rsid w:val="0064533F"/>
    <w:rsid w:val="00646689"/>
    <w:rsid w:val="006468CC"/>
    <w:rsid w:val="00646BA8"/>
    <w:rsid w:val="00647167"/>
    <w:rsid w:val="00647368"/>
    <w:rsid w:val="0064795A"/>
    <w:rsid w:val="00647B40"/>
    <w:rsid w:val="0065086C"/>
    <w:rsid w:val="00650D6D"/>
    <w:rsid w:val="00650EB1"/>
    <w:rsid w:val="0065281D"/>
    <w:rsid w:val="00653490"/>
    <w:rsid w:val="00653B1A"/>
    <w:rsid w:val="0065485A"/>
    <w:rsid w:val="00655F15"/>
    <w:rsid w:val="00655F41"/>
    <w:rsid w:val="006565A4"/>
    <w:rsid w:val="00656A4B"/>
    <w:rsid w:val="0065793B"/>
    <w:rsid w:val="00660D4C"/>
    <w:rsid w:val="00660FAB"/>
    <w:rsid w:val="00661637"/>
    <w:rsid w:val="006619D0"/>
    <w:rsid w:val="0066333D"/>
    <w:rsid w:val="00663CC0"/>
    <w:rsid w:val="00664899"/>
    <w:rsid w:val="00664A10"/>
    <w:rsid w:val="00665C3B"/>
    <w:rsid w:val="00666880"/>
    <w:rsid w:val="00666D3F"/>
    <w:rsid w:val="00666D8C"/>
    <w:rsid w:val="00667257"/>
    <w:rsid w:val="00667A51"/>
    <w:rsid w:val="00667D48"/>
    <w:rsid w:val="006718DF"/>
    <w:rsid w:val="00671EF6"/>
    <w:rsid w:val="006722B1"/>
    <w:rsid w:val="006723AF"/>
    <w:rsid w:val="00672409"/>
    <w:rsid w:val="00673144"/>
    <w:rsid w:val="00673F4B"/>
    <w:rsid w:val="00674642"/>
    <w:rsid w:val="00675246"/>
    <w:rsid w:val="0067582E"/>
    <w:rsid w:val="00675BB2"/>
    <w:rsid w:val="00675EFC"/>
    <w:rsid w:val="00675FCC"/>
    <w:rsid w:val="0067626C"/>
    <w:rsid w:val="0067736D"/>
    <w:rsid w:val="006775E7"/>
    <w:rsid w:val="006777EE"/>
    <w:rsid w:val="00677B2C"/>
    <w:rsid w:val="00677C46"/>
    <w:rsid w:val="00680C59"/>
    <w:rsid w:val="00681CAE"/>
    <w:rsid w:val="00681D6A"/>
    <w:rsid w:val="0068224F"/>
    <w:rsid w:val="00683B37"/>
    <w:rsid w:val="0068439F"/>
    <w:rsid w:val="00684C9F"/>
    <w:rsid w:val="006850BF"/>
    <w:rsid w:val="0068578E"/>
    <w:rsid w:val="006860BF"/>
    <w:rsid w:val="0068618E"/>
    <w:rsid w:val="006879E8"/>
    <w:rsid w:val="00690434"/>
    <w:rsid w:val="00691AED"/>
    <w:rsid w:val="00691DCE"/>
    <w:rsid w:val="00693230"/>
    <w:rsid w:val="00693ADA"/>
    <w:rsid w:val="00693FD1"/>
    <w:rsid w:val="0069484D"/>
    <w:rsid w:val="006953DE"/>
    <w:rsid w:val="00695A4B"/>
    <w:rsid w:val="00695CE8"/>
    <w:rsid w:val="00695D97"/>
    <w:rsid w:val="00695EDE"/>
    <w:rsid w:val="006969BD"/>
    <w:rsid w:val="006972A6"/>
    <w:rsid w:val="006979E8"/>
    <w:rsid w:val="006A0264"/>
    <w:rsid w:val="006A02CC"/>
    <w:rsid w:val="006A0A45"/>
    <w:rsid w:val="006A0DBE"/>
    <w:rsid w:val="006A1560"/>
    <w:rsid w:val="006A1816"/>
    <w:rsid w:val="006A1B2E"/>
    <w:rsid w:val="006A1B6A"/>
    <w:rsid w:val="006A35BB"/>
    <w:rsid w:val="006A43DB"/>
    <w:rsid w:val="006A4BBA"/>
    <w:rsid w:val="006A4D67"/>
    <w:rsid w:val="006A4DC7"/>
    <w:rsid w:val="006A5998"/>
    <w:rsid w:val="006A5C9F"/>
    <w:rsid w:val="006A7003"/>
    <w:rsid w:val="006A7884"/>
    <w:rsid w:val="006A7A23"/>
    <w:rsid w:val="006B0800"/>
    <w:rsid w:val="006B17D1"/>
    <w:rsid w:val="006B18B4"/>
    <w:rsid w:val="006B3205"/>
    <w:rsid w:val="006B374E"/>
    <w:rsid w:val="006B3935"/>
    <w:rsid w:val="006B4830"/>
    <w:rsid w:val="006B4DB7"/>
    <w:rsid w:val="006B5172"/>
    <w:rsid w:val="006B5BCB"/>
    <w:rsid w:val="006B65B8"/>
    <w:rsid w:val="006B6B5C"/>
    <w:rsid w:val="006B6B5E"/>
    <w:rsid w:val="006B76B0"/>
    <w:rsid w:val="006C02EB"/>
    <w:rsid w:val="006C0825"/>
    <w:rsid w:val="006C16FC"/>
    <w:rsid w:val="006C1844"/>
    <w:rsid w:val="006C1B3B"/>
    <w:rsid w:val="006C1C17"/>
    <w:rsid w:val="006C26F3"/>
    <w:rsid w:val="006C2EB3"/>
    <w:rsid w:val="006C31AC"/>
    <w:rsid w:val="006C419E"/>
    <w:rsid w:val="006C4906"/>
    <w:rsid w:val="006C492B"/>
    <w:rsid w:val="006C4D44"/>
    <w:rsid w:val="006C526E"/>
    <w:rsid w:val="006C56FD"/>
    <w:rsid w:val="006C6120"/>
    <w:rsid w:val="006C62E1"/>
    <w:rsid w:val="006C64E8"/>
    <w:rsid w:val="006C70FD"/>
    <w:rsid w:val="006D0DFC"/>
    <w:rsid w:val="006D184B"/>
    <w:rsid w:val="006D245A"/>
    <w:rsid w:val="006D251B"/>
    <w:rsid w:val="006D30A2"/>
    <w:rsid w:val="006D3701"/>
    <w:rsid w:val="006D40C6"/>
    <w:rsid w:val="006D49F3"/>
    <w:rsid w:val="006D4EDA"/>
    <w:rsid w:val="006D5CE0"/>
    <w:rsid w:val="006D6E0E"/>
    <w:rsid w:val="006E00A3"/>
    <w:rsid w:val="006E0748"/>
    <w:rsid w:val="006E1657"/>
    <w:rsid w:val="006E170A"/>
    <w:rsid w:val="006E215B"/>
    <w:rsid w:val="006E31A0"/>
    <w:rsid w:val="006E320F"/>
    <w:rsid w:val="006E33F2"/>
    <w:rsid w:val="006E3DB1"/>
    <w:rsid w:val="006E3E4C"/>
    <w:rsid w:val="006E46A9"/>
    <w:rsid w:val="006E4AF6"/>
    <w:rsid w:val="006E6A98"/>
    <w:rsid w:val="006E7856"/>
    <w:rsid w:val="006E7914"/>
    <w:rsid w:val="006F02E8"/>
    <w:rsid w:val="006F05DA"/>
    <w:rsid w:val="006F0AED"/>
    <w:rsid w:val="006F27CA"/>
    <w:rsid w:val="006F2B71"/>
    <w:rsid w:val="006F3D44"/>
    <w:rsid w:val="006F3FE2"/>
    <w:rsid w:val="006F4BB2"/>
    <w:rsid w:val="006F51FF"/>
    <w:rsid w:val="006F5397"/>
    <w:rsid w:val="006F605E"/>
    <w:rsid w:val="006F65EC"/>
    <w:rsid w:val="006F6EA3"/>
    <w:rsid w:val="006F7B24"/>
    <w:rsid w:val="0070078F"/>
    <w:rsid w:val="00700ACA"/>
    <w:rsid w:val="007018D6"/>
    <w:rsid w:val="0070270B"/>
    <w:rsid w:val="00702A28"/>
    <w:rsid w:val="00702BEC"/>
    <w:rsid w:val="00703028"/>
    <w:rsid w:val="00704408"/>
    <w:rsid w:val="0070516E"/>
    <w:rsid w:val="00705509"/>
    <w:rsid w:val="00705579"/>
    <w:rsid w:val="0070633A"/>
    <w:rsid w:val="00706344"/>
    <w:rsid w:val="00706871"/>
    <w:rsid w:val="0070715A"/>
    <w:rsid w:val="007072C8"/>
    <w:rsid w:val="007105DD"/>
    <w:rsid w:val="007107FB"/>
    <w:rsid w:val="00710A96"/>
    <w:rsid w:val="00712102"/>
    <w:rsid w:val="007125A7"/>
    <w:rsid w:val="00713C35"/>
    <w:rsid w:val="00714515"/>
    <w:rsid w:val="00715AEA"/>
    <w:rsid w:val="007165F3"/>
    <w:rsid w:val="00716EF6"/>
    <w:rsid w:val="00716F31"/>
    <w:rsid w:val="007172CC"/>
    <w:rsid w:val="007172D9"/>
    <w:rsid w:val="0071760C"/>
    <w:rsid w:val="00717716"/>
    <w:rsid w:val="00717A19"/>
    <w:rsid w:val="00717AF0"/>
    <w:rsid w:val="00717D9D"/>
    <w:rsid w:val="007205C8"/>
    <w:rsid w:val="00720707"/>
    <w:rsid w:val="00721E54"/>
    <w:rsid w:val="00722292"/>
    <w:rsid w:val="007222FB"/>
    <w:rsid w:val="0072273E"/>
    <w:rsid w:val="007232DA"/>
    <w:rsid w:val="007232F2"/>
    <w:rsid w:val="0072364B"/>
    <w:rsid w:val="00724451"/>
    <w:rsid w:val="007245C0"/>
    <w:rsid w:val="00724C98"/>
    <w:rsid w:val="00724DD8"/>
    <w:rsid w:val="00725629"/>
    <w:rsid w:val="00727495"/>
    <w:rsid w:val="00730D63"/>
    <w:rsid w:val="00730E6F"/>
    <w:rsid w:val="00731996"/>
    <w:rsid w:val="00731B2E"/>
    <w:rsid w:val="0073240A"/>
    <w:rsid w:val="00732B97"/>
    <w:rsid w:val="00733001"/>
    <w:rsid w:val="00733B4A"/>
    <w:rsid w:val="007346D2"/>
    <w:rsid w:val="00734AE8"/>
    <w:rsid w:val="0073519A"/>
    <w:rsid w:val="0073527C"/>
    <w:rsid w:val="0073573E"/>
    <w:rsid w:val="00735D93"/>
    <w:rsid w:val="00735F8C"/>
    <w:rsid w:val="00736DA5"/>
    <w:rsid w:val="00737425"/>
    <w:rsid w:val="007407C1"/>
    <w:rsid w:val="007409EA"/>
    <w:rsid w:val="00741FC8"/>
    <w:rsid w:val="0074286A"/>
    <w:rsid w:val="00742CC7"/>
    <w:rsid w:val="00742D2C"/>
    <w:rsid w:val="00742EC6"/>
    <w:rsid w:val="007438BB"/>
    <w:rsid w:val="00743A3F"/>
    <w:rsid w:val="00744385"/>
    <w:rsid w:val="00744399"/>
    <w:rsid w:val="00744CE7"/>
    <w:rsid w:val="00744D4C"/>
    <w:rsid w:val="007452EE"/>
    <w:rsid w:val="007465D4"/>
    <w:rsid w:val="00746719"/>
    <w:rsid w:val="007467BD"/>
    <w:rsid w:val="00746956"/>
    <w:rsid w:val="00747B0C"/>
    <w:rsid w:val="00751701"/>
    <w:rsid w:val="007517DD"/>
    <w:rsid w:val="00751C5F"/>
    <w:rsid w:val="00752048"/>
    <w:rsid w:val="0075260D"/>
    <w:rsid w:val="007531B8"/>
    <w:rsid w:val="00753652"/>
    <w:rsid w:val="00753699"/>
    <w:rsid w:val="00753FF2"/>
    <w:rsid w:val="007548DF"/>
    <w:rsid w:val="0075494C"/>
    <w:rsid w:val="00754A54"/>
    <w:rsid w:val="00755B90"/>
    <w:rsid w:val="00755DF0"/>
    <w:rsid w:val="00755FCF"/>
    <w:rsid w:val="00756456"/>
    <w:rsid w:val="00756A41"/>
    <w:rsid w:val="0075725A"/>
    <w:rsid w:val="00757784"/>
    <w:rsid w:val="00757B16"/>
    <w:rsid w:val="00760057"/>
    <w:rsid w:val="00761B5F"/>
    <w:rsid w:val="00762D98"/>
    <w:rsid w:val="00763987"/>
    <w:rsid w:val="00763FAD"/>
    <w:rsid w:val="00764A38"/>
    <w:rsid w:val="007654BC"/>
    <w:rsid w:val="00765A5A"/>
    <w:rsid w:val="00766141"/>
    <w:rsid w:val="0076626D"/>
    <w:rsid w:val="007663C2"/>
    <w:rsid w:val="007665E7"/>
    <w:rsid w:val="00766BB5"/>
    <w:rsid w:val="00767272"/>
    <w:rsid w:val="00770030"/>
    <w:rsid w:val="0077058B"/>
    <w:rsid w:val="0077086D"/>
    <w:rsid w:val="007718C9"/>
    <w:rsid w:val="007719D5"/>
    <w:rsid w:val="00771A47"/>
    <w:rsid w:val="007721E5"/>
    <w:rsid w:val="00772B9C"/>
    <w:rsid w:val="00772DD2"/>
    <w:rsid w:val="00773C0D"/>
    <w:rsid w:val="007740B5"/>
    <w:rsid w:val="00774241"/>
    <w:rsid w:val="0077560A"/>
    <w:rsid w:val="00775A36"/>
    <w:rsid w:val="00775EF4"/>
    <w:rsid w:val="00775F89"/>
    <w:rsid w:val="007761DB"/>
    <w:rsid w:val="007768CA"/>
    <w:rsid w:val="00777927"/>
    <w:rsid w:val="00780460"/>
    <w:rsid w:val="00780B54"/>
    <w:rsid w:val="00780DDD"/>
    <w:rsid w:val="007818F4"/>
    <w:rsid w:val="00781FC6"/>
    <w:rsid w:val="007821E6"/>
    <w:rsid w:val="00782550"/>
    <w:rsid w:val="0078347F"/>
    <w:rsid w:val="00783CF4"/>
    <w:rsid w:val="007852EF"/>
    <w:rsid w:val="00785A13"/>
    <w:rsid w:val="007867D9"/>
    <w:rsid w:val="007867DF"/>
    <w:rsid w:val="00786877"/>
    <w:rsid w:val="00786C15"/>
    <w:rsid w:val="00786F4B"/>
    <w:rsid w:val="00786F81"/>
    <w:rsid w:val="007870F5"/>
    <w:rsid w:val="0078728D"/>
    <w:rsid w:val="007879CE"/>
    <w:rsid w:val="0079140E"/>
    <w:rsid w:val="00792187"/>
    <w:rsid w:val="007927AD"/>
    <w:rsid w:val="00793392"/>
    <w:rsid w:val="00793682"/>
    <w:rsid w:val="00794F64"/>
    <w:rsid w:val="00795277"/>
    <w:rsid w:val="007953E5"/>
    <w:rsid w:val="00796151"/>
    <w:rsid w:val="007968CC"/>
    <w:rsid w:val="00797304"/>
    <w:rsid w:val="007976FD"/>
    <w:rsid w:val="00797E2E"/>
    <w:rsid w:val="00797E4A"/>
    <w:rsid w:val="007A0562"/>
    <w:rsid w:val="007A08A6"/>
    <w:rsid w:val="007A1260"/>
    <w:rsid w:val="007A18C6"/>
    <w:rsid w:val="007A2FA6"/>
    <w:rsid w:val="007A3B09"/>
    <w:rsid w:val="007A3F7B"/>
    <w:rsid w:val="007A4C1B"/>
    <w:rsid w:val="007A5F53"/>
    <w:rsid w:val="007A6FB2"/>
    <w:rsid w:val="007A7080"/>
    <w:rsid w:val="007B055E"/>
    <w:rsid w:val="007B09C7"/>
    <w:rsid w:val="007B1219"/>
    <w:rsid w:val="007B131E"/>
    <w:rsid w:val="007B197C"/>
    <w:rsid w:val="007B1F0A"/>
    <w:rsid w:val="007B1F2A"/>
    <w:rsid w:val="007B2732"/>
    <w:rsid w:val="007B34FD"/>
    <w:rsid w:val="007B3915"/>
    <w:rsid w:val="007B3A8A"/>
    <w:rsid w:val="007B442C"/>
    <w:rsid w:val="007B4513"/>
    <w:rsid w:val="007B4628"/>
    <w:rsid w:val="007B4FD9"/>
    <w:rsid w:val="007B5404"/>
    <w:rsid w:val="007B5593"/>
    <w:rsid w:val="007B5F55"/>
    <w:rsid w:val="007B6152"/>
    <w:rsid w:val="007B61A7"/>
    <w:rsid w:val="007B75D3"/>
    <w:rsid w:val="007B7C29"/>
    <w:rsid w:val="007C088B"/>
    <w:rsid w:val="007C0F2D"/>
    <w:rsid w:val="007C1835"/>
    <w:rsid w:val="007C1C59"/>
    <w:rsid w:val="007C2050"/>
    <w:rsid w:val="007C22F8"/>
    <w:rsid w:val="007C2EA8"/>
    <w:rsid w:val="007C36B0"/>
    <w:rsid w:val="007C3763"/>
    <w:rsid w:val="007C3781"/>
    <w:rsid w:val="007C37EC"/>
    <w:rsid w:val="007C38BD"/>
    <w:rsid w:val="007C40AA"/>
    <w:rsid w:val="007C43F6"/>
    <w:rsid w:val="007C4C18"/>
    <w:rsid w:val="007C4CA0"/>
    <w:rsid w:val="007C4EFE"/>
    <w:rsid w:val="007C77CF"/>
    <w:rsid w:val="007C7AFE"/>
    <w:rsid w:val="007C7DC0"/>
    <w:rsid w:val="007D0882"/>
    <w:rsid w:val="007D12D5"/>
    <w:rsid w:val="007D12E9"/>
    <w:rsid w:val="007D1E59"/>
    <w:rsid w:val="007D1FE7"/>
    <w:rsid w:val="007D2820"/>
    <w:rsid w:val="007D2CB0"/>
    <w:rsid w:val="007D3517"/>
    <w:rsid w:val="007D38B3"/>
    <w:rsid w:val="007D3FDB"/>
    <w:rsid w:val="007D4901"/>
    <w:rsid w:val="007D4A93"/>
    <w:rsid w:val="007D4AB3"/>
    <w:rsid w:val="007D58E4"/>
    <w:rsid w:val="007D5A90"/>
    <w:rsid w:val="007D63FF"/>
    <w:rsid w:val="007D6444"/>
    <w:rsid w:val="007D6D46"/>
    <w:rsid w:val="007D755C"/>
    <w:rsid w:val="007D770D"/>
    <w:rsid w:val="007D7AA5"/>
    <w:rsid w:val="007D7F65"/>
    <w:rsid w:val="007E1393"/>
    <w:rsid w:val="007E1FD7"/>
    <w:rsid w:val="007E328E"/>
    <w:rsid w:val="007E3D64"/>
    <w:rsid w:val="007E3FB3"/>
    <w:rsid w:val="007E47B4"/>
    <w:rsid w:val="007E5066"/>
    <w:rsid w:val="007E555E"/>
    <w:rsid w:val="007E5E3C"/>
    <w:rsid w:val="007E5FF7"/>
    <w:rsid w:val="007E6ED3"/>
    <w:rsid w:val="007E7976"/>
    <w:rsid w:val="007E7D16"/>
    <w:rsid w:val="007E7F98"/>
    <w:rsid w:val="007E7F9C"/>
    <w:rsid w:val="007F1691"/>
    <w:rsid w:val="007F179A"/>
    <w:rsid w:val="007F1B81"/>
    <w:rsid w:val="007F1FFB"/>
    <w:rsid w:val="007F2EF7"/>
    <w:rsid w:val="007F3C32"/>
    <w:rsid w:val="007F3FC2"/>
    <w:rsid w:val="007F3FE2"/>
    <w:rsid w:val="007F4969"/>
    <w:rsid w:val="007F4BCC"/>
    <w:rsid w:val="007F4C44"/>
    <w:rsid w:val="007F582A"/>
    <w:rsid w:val="007F6003"/>
    <w:rsid w:val="007F6175"/>
    <w:rsid w:val="00800622"/>
    <w:rsid w:val="00800A10"/>
    <w:rsid w:val="00800DC2"/>
    <w:rsid w:val="0080112C"/>
    <w:rsid w:val="008017C8"/>
    <w:rsid w:val="008017E4"/>
    <w:rsid w:val="00801B72"/>
    <w:rsid w:val="0080328D"/>
    <w:rsid w:val="008033E1"/>
    <w:rsid w:val="00804269"/>
    <w:rsid w:val="008042A6"/>
    <w:rsid w:val="0080451D"/>
    <w:rsid w:val="008053F3"/>
    <w:rsid w:val="0080582D"/>
    <w:rsid w:val="00805B74"/>
    <w:rsid w:val="008065EB"/>
    <w:rsid w:val="008071D5"/>
    <w:rsid w:val="00807642"/>
    <w:rsid w:val="00807969"/>
    <w:rsid w:val="00810F99"/>
    <w:rsid w:val="00812036"/>
    <w:rsid w:val="008124DD"/>
    <w:rsid w:val="0081286A"/>
    <w:rsid w:val="0081417C"/>
    <w:rsid w:val="00814201"/>
    <w:rsid w:val="00814BD8"/>
    <w:rsid w:val="0081508A"/>
    <w:rsid w:val="00815AD4"/>
    <w:rsid w:val="008170F0"/>
    <w:rsid w:val="00817536"/>
    <w:rsid w:val="00820590"/>
    <w:rsid w:val="0082083C"/>
    <w:rsid w:val="008218AC"/>
    <w:rsid w:val="00821B6A"/>
    <w:rsid w:val="008228AE"/>
    <w:rsid w:val="008241D0"/>
    <w:rsid w:val="0082420D"/>
    <w:rsid w:val="0082426D"/>
    <w:rsid w:val="00824A85"/>
    <w:rsid w:val="00826E66"/>
    <w:rsid w:val="00826FBF"/>
    <w:rsid w:val="008277FD"/>
    <w:rsid w:val="0083077D"/>
    <w:rsid w:val="00830C78"/>
    <w:rsid w:val="00830C7E"/>
    <w:rsid w:val="00830D07"/>
    <w:rsid w:val="0083142C"/>
    <w:rsid w:val="00831BAA"/>
    <w:rsid w:val="00832BAD"/>
    <w:rsid w:val="008333EA"/>
    <w:rsid w:val="008336F9"/>
    <w:rsid w:val="00834033"/>
    <w:rsid w:val="008341EF"/>
    <w:rsid w:val="00834243"/>
    <w:rsid w:val="0083491C"/>
    <w:rsid w:val="00834BC3"/>
    <w:rsid w:val="00834CD8"/>
    <w:rsid w:val="00836816"/>
    <w:rsid w:val="00836B57"/>
    <w:rsid w:val="0083786F"/>
    <w:rsid w:val="00837873"/>
    <w:rsid w:val="00840082"/>
    <w:rsid w:val="00840151"/>
    <w:rsid w:val="008406FB"/>
    <w:rsid w:val="00840998"/>
    <w:rsid w:val="00840AB7"/>
    <w:rsid w:val="00840DC0"/>
    <w:rsid w:val="00840DEE"/>
    <w:rsid w:val="00841D6E"/>
    <w:rsid w:val="00842601"/>
    <w:rsid w:val="00842FA5"/>
    <w:rsid w:val="00843258"/>
    <w:rsid w:val="00843CFC"/>
    <w:rsid w:val="008444ED"/>
    <w:rsid w:val="00844E85"/>
    <w:rsid w:val="008454A5"/>
    <w:rsid w:val="008464B9"/>
    <w:rsid w:val="00846CE6"/>
    <w:rsid w:val="00850383"/>
    <w:rsid w:val="008507CA"/>
    <w:rsid w:val="00850FFB"/>
    <w:rsid w:val="0085169A"/>
    <w:rsid w:val="00851CA7"/>
    <w:rsid w:val="00852713"/>
    <w:rsid w:val="00852883"/>
    <w:rsid w:val="00853638"/>
    <w:rsid w:val="008536E5"/>
    <w:rsid w:val="00854347"/>
    <w:rsid w:val="00854641"/>
    <w:rsid w:val="008546B3"/>
    <w:rsid w:val="008548EB"/>
    <w:rsid w:val="00854C5D"/>
    <w:rsid w:val="00854DB8"/>
    <w:rsid w:val="00855278"/>
    <w:rsid w:val="00855AA2"/>
    <w:rsid w:val="00856896"/>
    <w:rsid w:val="00860D22"/>
    <w:rsid w:val="00860D6C"/>
    <w:rsid w:val="00860F3F"/>
    <w:rsid w:val="00861A97"/>
    <w:rsid w:val="008620C1"/>
    <w:rsid w:val="0086268E"/>
    <w:rsid w:val="00862924"/>
    <w:rsid w:val="00862A09"/>
    <w:rsid w:val="008631B6"/>
    <w:rsid w:val="0086363C"/>
    <w:rsid w:val="00863978"/>
    <w:rsid w:val="00863BB1"/>
    <w:rsid w:val="00864074"/>
    <w:rsid w:val="00864607"/>
    <w:rsid w:val="008648B5"/>
    <w:rsid w:val="00864931"/>
    <w:rsid w:val="00864BD9"/>
    <w:rsid w:val="00864DE1"/>
    <w:rsid w:val="0086582F"/>
    <w:rsid w:val="00865B8A"/>
    <w:rsid w:val="0086611C"/>
    <w:rsid w:val="008665BE"/>
    <w:rsid w:val="0086689F"/>
    <w:rsid w:val="00866DFC"/>
    <w:rsid w:val="0086785F"/>
    <w:rsid w:val="00867CEC"/>
    <w:rsid w:val="008701FE"/>
    <w:rsid w:val="00870883"/>
    <w:rsid w:val="00871922"/>
    <w:rsid w:val="008723EF"/>
    <w:rsid w:val="0087310D"/>
    <w:rsid w:val="0087333F"/>
    <w:rsid w:val="008737BB"/>
    <w:rsid w:val="00873EC0"/>
    <w:rsid w:val="00874868"/>
    <w:rsid w:val="00876649"/>
    <w:rsid w:val="0087722B"/>
    <w:rsid w:val="00877371"/>
    <w:rsid w:val="008777C1"/>
    <w:rsid w:val="00877C7E"/>
    <w:rsid w:val="00880325"/>
    <w:rsid w:val="008809F7"/>
    <w:rsid w:val="00880D17"/>
    <w:rsid w:val="00881717"/>
    <w:rsid w:val="008819EB"/>
    <w:rsid w:val="00882CE7"/>
    <w:rsid w:val="00882F27"/>
    <w:rsid w:val="00883EFC"/>
    <w:rsid w:val="00884402"/>
    <w:rsid w:val="0088574B"/>
    <w:rsid w:val="008863DE"/>
    <w:rsid w:val="008875EA"/>
    <w:rsid w:val="00887C70"/>
    <w:rsid w:val="00887EA3"/>
    <w:rsid w:val="008905E6"/>
    <w:rsid w:val="00890874"/>
    <w:rsid w:val="00891248"/>
    <w:rsid w:val="008913F7"/>
    <w:rsid w:val="00891F13"/>
    <w:rsid w:val="0089221E"/>
    <w:rsid w:val="00893128"/>
    <w:rsid w:val="00893E00"/>
    <w:rsid w:val="00893E67"/>
    <w:rsid w:val="00893F87"/>
    <w:rsid w:val="0089410A"/>
    <w:rsid w:val="00894335"/>
    <w:rsid w:val="00894F8C"/>
    <w:rsid w:val="00895592"/>
    <w:rsid w:val="00895B75"/>
    <w:rsid w:val="00896C10"/>
    <w:rsid w:val="00896C51"/>
    <w:rsid w:val="00896CC4"/>
    <w:rsid w:val="00897CFA"/>
    <w:rsid w:val="008A110A"/>
    <w:rsid w:val="008A226D"/>
    <w:rsid w:val="008A2356"/>
    <w:rsid w:val="008A23D9"/>
    <w:rsid w:val="008A25F2"/>
    <w:rsid w:val="008A2ECA"/>
    <w:rsid w:val="008A31B5"/>
    <w:rsid w:val="008A32CF"/>
    <w:rsid w:val="008A3D43"/>
    <w:rsid w:val="008A4AB0"/>
    <w:rsid w:val="008A56AB"/>
    <w:rsid w:val="008A5FC8"/>
    <w:rsid w:val="008A60FE"/>
    <w:rsid w:val="008A65DF"/>
    <w:rsid w:val="008A6F0B"/>
    <w:rsid w:val="008A7285"/>
    <w:rsid w:val="008A73C2"/>
    <w:rsid w:val="008A7874"/>
    <w:rsid w:val="008B0656"/>
    <w:rsid w:val="008B2084"/>
    <w:rsid w:val="008B2346"/>
    <w:rsid w:val="008B2359"/>
    <w:rsid w:val="008B2BFE"/>
    <w:rsid w:val="008B36E0"/>
    <w:rsid w:val="008B3DA9"/>
    <w:rsid w:val="008B4380"/>
    <w:rsid w:val="008B44E6"/>
    <w:rsid w:val="008B57A7"/>
    <w:rsid w:val="008B5AE0"/>
    <w:rsid w:val="008B653E"/>
    <w:rsid w:val="008B67F1"/>
    <w:rsid w:val="008B7495"/>
    <w:rsid w:val="008B789B"/>
    <w:rsid w:val="008B78B4"/>
    <w:rsid w:val="008B7B95"/>
    <w:rsid w:val="008C00A4"/>
    <w:rsid w:val="008C0D2B"/>
    <w:rsid w:val="008C180F"/>
    <w:rsid w:val="008C22E4"/>
    <w:rsid w:val="008C2DFC"/>
    <w:rsid w:val="008C396D"/>
    <w:rsid w:val="008C5590"/>
    <w:rsid w:val="008C596D"/>
    <w:rsid w:val="008C5C77"/>
    <w:rsid w:val="008C6CE2"/>
    <w:rsid w:val="008C783B"/>
    <w:rsid w:val="008C7A5F"/>
    <w:rsid w:val="008C7F67"/>
    <w:rsid w:val="008D045F"/>
    <w:rsid w:val="008D0E2E"/>
    <w:rsid w:val="008D1340"/>
    <w:rsid w:val="008D151D"/>
    <w:rsid w:val="008D1C24"/>
    <w:rsid w:val="008D20CD"/>
    <w:rsid w:val="008D2180"/>
    <w:rsid w:val="008D23DE"/>
    <w:rsid w:val="008D3062"/>
    <w:rsid w:val="008D3424"/>
    <w:rsid w:val="008D37A8"/>
    <w:rsid w:val="008D3CE0"/>
    <w:rsid w:val="008D42FE"/>
    <w:rsid w:val="008D4409"/>
    <w:rsid w:val="008D46D5"/>
    <w:rsid w:val="008D54A5"/>
    <w:rsid w:val="008D55D9"/>
    <w:rsid w:val="008D5746"/>
    <w:rsid w:val="008D5C27"/>
    <w:rsid w:val="008D6176"/>
    <w:rsid w:val="008D629D"/>
    <w:rsid w:val="008D6463"/>
    <w:rsid w:val="008D6962"/>
    <w:rsid w:val="008D7201"/>
    <w:rsid w:val="008D7A3E"/>
    <w:rsid w:val="008D7AA8"/>
    <w:rsid w:val="008D7F52"/>
    <w:rsid w:val="008E1204"/>
    <w:rsid w:val="008E1CED"/>
    <w:rsid w:val="008E1ED8"/>
    <w:rsid w:val="008E28BC"/>
    <w:rsid w:val="008E2917"/>
    <w:rsid w:val="008E29DF"/>
    <w:rsid w:val="008E2D68"/>
    <w:rsid w:val="008E3A0E"/>
    <w:rsid w:val="008E3FD7"/>
    <w:rsid w:val="008E4CF4"/>
    <w:rsid w:val="008E4D7F"/>
    <w:rsid w:val="008E55B2"/>
    <w:rsid w:val="008E5C2D"/>
    <w:rsid w:val="008E5CBB"/>
    <w:rsid w:val="008E629C"/>
    <w:rsid w:val="008E69E8"/>
    <w:rsid w:val="008E730A"/>
    <w:rsid w:val="008E7969"/>
    <w:rsid w:val="008E7C19"/>
    <w:rsid w:val="008F090D"/>
    <w:rsid w:val="008F0AAC"/>
    <w:rsid w:val="008F3C41"/>
    <w:rsid w:val="008F3D67"/>
    <w:rsid w:val="008F487E"/>
    <w:rsid w:val="008F4EAF"/>
    <w:rsid w:val="008F57E9"/>
    <w:rsid w:val="008F6942"/>
    <w:rsid w:val="008F6C30"/>
    <w:rsid w:val="008F7AB0"/>
    <w:rsid w:val="00900C2B"/>
    <w:rsid w:val="00900E4B"/>
    <w:rsid w:val="00900EC1"/>
    <w:rsid w:val="00901BC4"/>
    <w:rsid w:val="00901E48"/>
    <w:rsid w:val="009020A3"/>
    <w:rsid w:val="00902795"/>
    <w:rsid w:val="009027AA"/>
    <w:rsid w:val="0090280D"/>
    <w:rsid w:val="00902BF2"/>
    <w:rsid w:val="00902C6C"/>
    <w:rsid w:val="009047E7"/>
    <w:rsid w:val="0090480F"/>
    <w:rsid w:val="00904CCB"/>
    <w:rsid w:val="009059CA"/>
    <w:rsid w:val="00907CF1"/>
    <w:rsid w:val="00910014"/>
    <w:rsid w:val="00910098"/>
    <w:rsid w:val="00910417"/>
    <w:rsid w:val="0091090B"/>
    <w:rsid w:val="00911030"/>
    <w:rsid w:val="009119E7"/>
    <w:rsid w:val="009119FD"/>
    <w:rsid w:val="00911B46"/>
    <w:rsid w:val="00912B51"/>
    <w:rsid w:val="009132B4"/>
    <w:rsid w:val="00913B80"/>
    <w:rsid w:val="009142A3"/>
    <w:rsid w:val="009146AE"/>
    <w:rsid w:val="0091531C"/>
    <w:rsid w:val="009153D8"/>
    <w:rsid w:val="00915C4A"/>
    <w:rsid w:val="009161BD"/>
    <w:rsid w:val="00916453"/>
    <w:rsid w:val="00916CF1"/>
    <w:rsid w:val="00917CAB"/>
    <w:rsid w:val="0092071B"/>
    <w:rsid w:val="009209EF"/>
    <w:rsid w:val="00920CE3"/>
    <w:rsid w:val="00920DC2"/>
    <w:rsid w:val="00920FCF"/>
    <w:rsid w:val="00923B5A"/>
    <w:rsid w:val="0092489E"/>
    <w:rsid w:val="00924B65"/>
    <w:rsid w:val="0092578E"/>
    <w:rsid w:val="0092591D"/>
    <w:rsid w:val="00925F1D"/>
    <w:rsid w:val="00925F84"/>
    <w:rsid w:val="009260F8"/>
    <w:rsid w:val="00926DF7"/>
    <w:rsid w:val="009316A6"/>
    <w:rsid w:val="009318C2"/>
    <w:rsid w:val="00932758"/>
    <w:rsid w:val="00933861"/>
    <w:rsid w:val="00933F06"/>
    <w:rsid w:val="00934A26"/>
    <w:rsid w:val="0093725D"/>
    <w:rsid w:val="009378AB"/>
    <w:rsid w:val="00937BE7"/>
    <w:rsid w:val="0094198D"/>
    <w:rsid w:val="00943090"/>
    <w:rsid w:val="00943789"/>
    <w:rsid w:val="00943F71"/>
    <w:rsid w:val="00944D3D"/>
    <w:rsid w:val="00945C9B"/>
    <w:rsid w:val="009461DC"/>
    <w:rsid w:val="009468F6"/>
    <w:rsid w:val="00946943"/>
    <w:rsid w:val="009470BD"/>
    <w:rsid w:val="009471F4"/>
    <w:rsid w:val="0094768A"/>
    <w:rsid w:val="00950043"/>
    <w:rsid w:val="00950052"/>
    <w:rsid w:val="00950D40"/>
    <w:rsid w:val="009517C1"/>
    <w:rsid w:val="009520AD"/>
    <w:rsid w:val="009520B5"/>
    <w:rsid w:val="009527E8"/>
    <w:rsid w:val="00953D21"/>
    <w:rsid w:val="00953D67"/>
    <w:rsid w:val="00953D6C"/>
    <w:rsid w:val="00953DB1"/>
    <w:rsid w:val="009541BC"/>
    <w:rsid w:val="00954663"/>
    <w:rsid w:val="00954D74"/>
    <w:rsid w:val="00954D98"/>
    <w:rsid w:val="00955EEF"/>
    <w:rsid w:val="009562FC"/>
    <w:rsid w:val="00956C0E"/>
    <w:rsid w:val="00957ADA"/>
    <w:rsid w:val="00957FCE"/>
    <w:rsid w:val="00960422"/>
    <w:rsid w:val="00961B8B"/>
    <w:rsid w:val="00962617"/>
    <w:rsid w:val="009632E6"/>
    <w:rsid w:val="009641C6"/>
    <w:rsid w:val="00964566"/>
    <w:rsid w:val="00964A02"/>
    <w:rsid w:val="00964DF5"/>
    <w:rsid w:val="00965355"/>
    <w:rsid w:val="0096594B"/>
    <w:rsid w:val="00965F24"/>
    <w:rsid w:val="0096694D"/>
    <w:rsid w:val="0096758D"/>
    <w:rsid w:val="00967DD6"/>
    <w:rsid w:val="009702FD"/>
    <w:rsid w:val="00971893"/>
    <w:rsid w:val="00972094"/>
    <w:rsid w:val="00973810"/>
    <w:rsid w:val="00973DFB"/>
    <w:rsid w:val="0097415C"/>
    <w:rsid w:val="00975231"/>
    <w:rsid w:val="00975353"/>
    <w:rsid w:val="00975482"/>
    <w:rsid w:val="00976052"/>
    <w:rsid w:val="00976680"/>
    <w:rsid w:val="009772C1"/>
    <w:rsid w:val="009773B6"/>
    <w:rsid w:val="0097749E"/>
    <w:rsid w:val="00977609"/>
    <w:rsid w:val="00977B4C"/>
    <w:rsid w:val="00977C72"/>
    <w:rsid w:val="00977F35"/>
    <w:rsid w:val="009806F8"/>
    <w:rsid w:val="00980F35"/>
    <w:rsid w:val="009810F2"/>
    <w:rsid w:val="009817B7"/>
    <w:rsid w:val="00981D39"/>
    <w:rsid w:val="00981E78"/>
    <w:rsid w:val="009821E2"/>
    <w:rsid w:val="0098267F"/>
    <w:rsid w:val="00982884"/>
    <w:rsid w:val="0098293B"/>
    <w:rsid w:val="00982AFE"/>
    <w:rsid w:val="00983E0A"/>
    <w:rsid w:val="009840DB"/>
    <w:rsid w:val="00984279"/>
    <w:rsid w:val="009845BE"/>
    <w:rsid w:val="009849FC"/>
    <w:rsid w:val="00985681"/>
    <w:rsid w:val="0098613E"/>
    <w:rsid w:val="009861DE"/>
    <w:rsid w:val="00986266"/>
    <w:rsid w:val="00986563"/>
    <w:rsid w:val="00986A8E"/>
    <w:rsid w:val="00986B00"/>
    <w:rsid w:val="00987979"/>
    <w:rsid w:val="00987D11"/>
    <w:rsid w:val="00987EA6"/>
    <w:rsid w:val="00990061"/>
    <w:rsid w:val="009900FA"/>
    <w:rsid w:val="009904A9"/>
    <w:rsid w:val="00991840"/>
    <w:rsid w:val="00992263"/>
    <w:rsid w:val="0099267F"/>
    <w:rsid w:val="0099296D"/>
    <w:rsid w:val="00992A88"/>
    <w:rsid w:val="00992AC5"/>
    <w:rsid w:val="00992D29"/>
    <w:rsid w:val="00992F83"/>
    <w:rsid w:val="00993039"/>
    <w:rsid w:val="009935D6"/>
    <w:rsid w:val="009936A7"/>
    <w:rsid w:val="00994720"/>
    <w:rsid w:val="00996D22"/>
    <w:rsid w:val="00997972"/>
    <w:rsid w:val="009A082E"/>
    <w:rsid w:val="009A0B26"/>
    <w:rsid w:val="009A0BCB"/>
    <w:rsid w:val="009A0CF3"/>
    <w:rsid w:val="009A1A00"/>
    <w:rsid w:val="009A2056"/>
    <w:rsid w:val="009A210C"/>
    <w:rsid w:val="009A2274"/>
    <w:rsid w:val="009A3AC8"/>
    <w:rsid w:val="009A3F8C"/>
    <w:rsid w:val="009A4640"/>
    <w:rsid w:val="009A48A8"/>
    <w:rsid w:val="009A4E9B"/>
    <w:rsid w:val="009A55BD"/>
    <w:rsid w:val="009A6349"/>
    <w:rsid w:val="009A6AA5"/>
    <w:rsid w:val="009A7EB9"/>
    <w:rsid w:val="009B0344"/>
    <w:rsid w:val="009B1A7B"/>
    <w:rsid w:val="009B31DA"/>
    <w:rsid w:val="009B33D3"/>
    <w:rsid w:val="009B3807"/>
    <w:rsid w:val="009B3A7B"/>
    <w:rsid w:val="009B3F27"/>
    <w:rsid w:val="009B5E4B"/>
    <w:rsid w:val="009B5EF1"/>
    <w:rsid w:val="009B6772"/>
    <w:rsid w:val="009B6FFD"/>
    <w:rsid w:val="009B772D"/>
    <w:rsid w:val="009B783F"/>
    <w:rsid w:val="009B7C6F"/>
    <w:rsid w:val="009C018E"/>
    <w:rsid w:val="009C051B"/>
    <w:rsid w:val="009C0930"/>
    <w:rsid w:val="009C118B"/>
    <w:rsid w:val="009C1299"/>
    <w:rsid w:val="009C324D"/>
    <w:rsid w:val="009C32EA"/>
    <w:rsid w:val="009C3671"/>
    <w:rsid w:val="009C37B2"/>
    <w:rsid w:val="009C4145"/>
    <w:rsid w:val="009C4220"/>
    <w:rsid w:val="009C431D"/>
    <w:rsid w:val="009C4855"/>
    <w:rsid w:val="009C4BA4"/>
    <w:rsid w:val="009C6416"/>
    <w:rsid w:val="009C77DD"/>
    <w:rsid w:val="009C7EB6"/>
    <w:rsid w:val="009D0F68"/>
    <w:rsid w:val="009D0FC1"/>
    <w:rsid w:val="009D104B"/>
    <w:rsid w:val="009D1660"/>
    <w:rsid w:val="009D305C"/>
    <w:rsid w:val="009D34F4"/>
    <w:rsid w:val="009D5547"/>
    <w:rsid w:val="009D5CF0"/>
    <w:rsid w:val="009D609F"/>
    <w:rsid w:val="009D66ED"/>
    <w:rsid w:val="009D7649"/>
    <w:rsid w:val="009D796F"/>
    <w:rsid w:val="009E0122"/>
    <w:rsid w:val="009E0441"/>
    <w:rsid w:val="009E1D06"/>
    <w:rsid w:val="009E1DDB"/>
    <w:rsid w:val="009E2045"/>
    <w:rsid w:val="009E20FB"/>
    <w:rsid w:val="009E2E7B"/>
    <w:rsid w:val="009E3049"/>
    <w:rsid w:val="009E3438"/>
    <w:rsid w:val="009E370E"/>
    <w:rsid w:val="009E43DD"/>
    <w:rsid w:val="009E483C"/>
    <w:rsid w:val="009E499E"/>
    <w:rsid w:val="009E49A0"/>
    <w:rsid w:val="009E677A"/>
    <w:rsid w:val="009E6AC3"/>
    <w:rsid w:val="009E6C4C"/>
    <w:rsid w:val="009E7421"/>
    <w:rsid w:val="009E7699"/>
    <w:rsid w:val="009F0712"/>
    <w:rsid w:val="009F0829"/>
    <w:rsid w:val="009F0ACB"/>
    <w:rsid w:val="009F4043"/>
    <w:rsid w:val="009F4111"/>
    <w:rsid w:val="009F4BA9"/>
    <w:rsid w:val="009F52C1"/>
    <w:rsid w:val="009F5D11"/>
    <w:rsid w:val="009F5FDB"/>
    <w:rsid w:val="009F6721"/>
    <w:rsid w:val="009F761E"/>
    <w:rsid w:val="009F7E62"/>
    <w:rsid w:val="009F7F2E"/>
    <w:rsid w:val="00A005DD"/>
    <w:rsid w:val="00A00782"/>
    <w:rsid w:val="00A01B76"/>
    <w:rsid w:val="00A02573"/>
    <w:rsid w:val="00A02D95"/>
    <w:rsid w:val="00A03EC9"/>
    <w:rsid w:val="00A0420F"/>
    <w:rsid w:val="00A05360"/>
    <w:rsid w:val="00A056CC"/>
    <w:rsid w:val="00A05D9C"/>
    <w:rsid w:val="00A05E06"/>
    <w:rsid w:val="00A05EE9"/>
    <w:rsid w:val="00A05F98"/>
    <w:rsid w:val="00A06346"/>
    <w:rsid w:val="00A06B9A"/>
    <w:rsid w:val="00A0741A"/>
    <w:rsid w:val="00A076F5"/>
    <w:rsid w:val="00A07998"/>
    <w:rsid w:val="00A07E02"/>
    <w:rsid w:val="00A10892"/>
    <w:rsid w:val="00A10975"/>
    <w:rsid w:val="00A110FF"/>
    <w:rsid w:val="00A12DB2"/>
    <w:rsid w:val="00A12FF3"/>
    <w:rsid w:val="00A148FA"/>
    <w:rsid w:val="00A14A2D"/>
    <w:rsid w:val="00A14D2E"/>
    <w:rsid w:val="00A15716"/>
    <w:rsid w:val="00A15B36"/>
    <w:rsid w:val="00A16150"/>
    <w:rsid w:val="00A16DAF"/>
    <w:rsid w:val="00A179D4"/>
    <w:rsid w:val="00A17EC3"/>
    <w:rsid w:val="00A223BF"/>
    <w:rsid w:val="00A22682"/>
    <w:rsid w:val="00A22725"/>
    <w:rsid w:val="00A22AB0"/>
    <w:rsid w:val="00A23581"/>
    <w:rsid w:val="00A244AA"/>
    <w:rsid w:val="00A24577"/>
    <w:rsid w:val="00A249EF"/>
    <w:rsid w:val="00A2559E"/>
    <w:rsid w:val="00A26E0F"/>
    <w:rsid w:val="00A271ED"/>
    <w:rsid w:val="00A27481"/>
    <w:rsid w:val="00A318B6"/>
    <w:rsid w:val="00A3194B"/>
    <w:rsid w:val="00A31A31"/>
    <w:rsid w:val="00A32176"/>
    <w:rsid w:val="00A34336"/>
    <w:rsid w:val="00A351D3"/>
    <w:rsid w:val="00A35219"/>
    <w:rsid w:val="00A35252"/>
    <w:rsid w:val="00A361DF"/>
    <w:rsid w:val="00A36610"/>
    <w:rsid w:val="00A40180"/>
    <w:rsid w:val="00A40352"/>
    <w:rsid w:val="00A40497"/>
    <w:rsid w:val="00A40A65"/>
    <w:rsid w:val="00A40D14"/>
    <w:rsid w:val="00A41C20"/>
    <w:rsid w:val="00A41FF3"/>
    <w:rsid w:val="00A420B5"/>
    <w:rsid w:val="00A42F2E"/>
    <w:rsid w:val="00A43258"/>
    <w:rsid w:val="00A43805"/>
    <w:rsid w:val="00A4380F"/>
    <w:rsid w:val="00A4420A"/>
    <w:rsid w:val="00A44A6D"/>
    <w:rsid w:val="00A44E8C"/>
    <w:rsid w:val="00A4569F"/>
    <w:rsid w:val="00A457B1"/>
    <w:rsid w:val="00A45AF5"/>
    <w:rsid w:val="00A45DAE"/>
    <w:rsid w:val="00A465E2"/>
    <w:rsid w:val="00A4692E"/>
    <w:rsid w:val="00A46C30"/>
    <w:rsid w:val="00A473A3"/>
    <w:rsid w:val="00A47471"/>
    <w:rsid w:val="00A47BC5"/>
    <w:rsid w:val="00A500FF"/>
    <w:rsid w:val="00A5056A"/>
    <w:rsid w:val="00A50750"/>
    <w:rsid w:val="00A50973"/>
    <w:rsid w:val="00A50DA0"/>
    <w:rsid w:val="00A5124A"/>
    <w:rsid w:val="00A530B5"/>
    <w:rsid w:val="00A5342F"/>
    <w:rsid w:val="00A53BD9"/>
    <w:rsid w:val="00A54AF4"/>
    <w:rsid w:val="00A5557F"/>
    <w:rsid w:val="00A5579C"/>
    <w:rsid w:val="00A5599B"/>
    <w:rsid w:val="00A56C31"/>
    <w:rsid w:val="00A56DBF"/>
    <w:rsid w:val="00A60CCF"/>
    <w:rsid w:val="00A6120C"/>
    <w:rsid w:val="00A61A44"/>
    <w:rsid w:val="00A61E61"/>
    <w:rsid w:val="00A62700"/>
    <w:rsid w:val="00A6293F"/>
    <w:rsid w:val="00A62B7D"/>
    <w:rsid w:val="00A63619"/>
    <w:rsid w:val="00A63714"/>
    <w:rsid w:val="00A63915"/>
    <w:rsid w:val="00A63ACA"/>
    <w:rsid w:val="00A648FE"/>
    <w:rsid w:val="00A65061"/>
    <w:rsid w:val="00A653DB"/>
    <w:rsid w:val="00A655FD"/>
    <w:rsid w:val="00A6597D"/>
    <w:rsid w:val="00A661C0"/>
    <w:rsid w:val="00A66207"/>
    <w:rsid w:val="00A664C6"/>
    <w:rsid w:val="00A66565"/>
    <w:rsid w:val="00A67564"/>
    <w:rsid w:val="00A67E28"/>
    <w:rsid w:val="00A70016"/>
    <w:rsid w:val="00A70398"/>
    <w:rsid w:val="00A70BD2"/>
    <w:rsid w:val="00A71316"/>
    <w:rsid w:val="00A71AAC"/>
    <w:rsid w:val="00A724D1"/>
    <w:rsid w:val="00A72F41"/>
    <w:rsid w:val="00A731A8"/>
    <w:rsid w:val="00A7360E"/>
    <w:rsid w:val="00A74ACB"/>
    <w:rsid w:val="00A752D0"/>
    <w:rsid w:val="00A7557B"/>
    <w:rsid w:val="00A75594"/>
    <w:rsid w:val="00A75DE7"/>
    <w:rsid w:val="00A75E32"/>
    <w:rsid w:val="00A76FAF"/>
    <w:rsid w:val="00A7796F"/>
    <w:rsid w:val="00A803D6"/>
    <w:rsid w:val="00A80711"/>
    <w:rsid w:val="00A8115F"/>
    <w:rsid w:val="00A83496"/>
    <w:rsid w:val="00A8352E"/>
    <w:rsid w:val="00A8354E"/>
    <w:rsid w:val="00A8360C"/>
    <w:rsid w:val="00A837DD"/>
    <w:rsid w:val="00A839B0"/>
    <w:rsid w:val="00A83B4E"/>
    <w:rsid w:val="00A83DA5"/>
    <w:rsid w:val="00A83EA7"/>
    <w:rsid w:val="00A86610"/>
    <w:rsid w:val="00A8783B"/>
    <w:rsid w:val="00A87B11"/>
    <w:rsid w:val="00A905BB"/>
    <w:rsid w:val="00A907EB"/>
    <w:rsid w:val="00A90B43"/>
    <w:rsid w:val="00A91125"/>
    <w:rsid w:val="00A91289"/>
    <w:rsid w:val="00A913F0"/>
    <w:rsid w:val="00A914B6"/>
    <w:rsid w:val="00A917EC"/>
    <w:rsid w:val="00A91903"/>
    <w:rsid w:val="00A91A47"/>
    <w:rsid w:val="00A91BE1"/>
    <w:rsid w:val="00A9239D"/>
    <w:rsid w:val="00A927BE"/>
    <w:rsid w:val="00A92F4A"/>
    <w:rsid w:val="00A93E10"/>
    <w:rsid w:val="00A9490C"/>
    <w:rsid w:val="00A94F8C"/>
    <w:rsid w:val="00A95A2C"/>
    <w:rsid w:val="00A95DB2"/>
    <w:rsid w:val="00A96258"/>
    <w:rsid w:val="00A973E3"/>
    <w:rsid w:val="00AA0F16"/>
    <w:rsid w:val="00AA194B"/>
    <w:rsid w:val="00AA23D8"/>
    <w:rsid w:val="00AA23F6"/>
    <w:rsid w:val="00AA467D"/>
    <w:rsid w:val="00AA49A1"/>
    <w:rsid w:val="00AA5C2A"/>
    <w:rsid w:val="00AA5E69"/>
    <w:rsid w:val="00AA799A"/>
    <w:rsid w:val="00AB01C5"/>
    <w:rsid w:val="00AB108B"/>
    <w:rsid w:val="00AB3A76"/>
    <w:rsid w:val="00AB3DFC"/>
    <w:rsid w:val="00AB4AF6"/>
    <w:rsid w:val="00AB4C5A"/>
    <w:rsid w:val="00AB4E53"/>
    <w:rsid w:val="00AB4E7A"/>
    <w:rsid w:val="00AB5B6B"/>
    <w:rsid w:val="00AB5D4D"/>
    <w:rsid w:val="00AB6C4D"/>
    <w:rsid w:val="00AB6DC4"/>
    <w:rsid w:val="00AB7245"/>
    <w:rsid w:val="00AB756B"/>
    <w:rsid w:val="00AB764B"/>
    <w:rsid w:val="00AC02E9"/>
    <w:rsid w:val="00AC1845"/>
    <w:rsid w:val="00AC1C97"/>
    <w:rsid w:val="00AC2449"/>
    <w:rsid w:val="00AC32CB"/>
    <w:rsid w:val="00AC4637"/>
    <w:rsid w:val="00AC4D40"/>
    <w:rsid w:val="00AC6692"/>
    <w:rsid w:val="00AC6C24"/>
    <w:rsid w:val="00AC6CE6"/>
    <w:rsid w:val="00AC798B"/>
    <w:rsid w:val="00AC7EF0"/>
    <w:rsid w:val="00AD067B"/>
    <w:rsid w:val="00AD0D25"/>
    <w:rsid w:val="00AD1334"/>
    <w:rsid w:val="00AD1DC7"/>
    <w:rsid w:val="00AD2C94"/>
    <w:rsid w:val="00AD30C7"/>
    <w:rsid w:val="00AD4991"/>
    <w:rsid w:val="00AD5558"/>
    <w:rsid w:val="00AD62CB"/>
    <w:rsid w:val="00AD6855"/>
    <w:rsid w:val="00AD68C9"/>
    <w:rsid w:val="00AE04FE"/>
    <w:rsid w:val="00AE06A0"/>
    <w:rsid w:val="00AE1730"/>
    <w:rsid w:val="00AE182F"/>
    <w:rsid w:val="00AE1C05"/>
    <w:rsid w:val="00AE1E29"/>
    <w:rsid w:val="00AE1F84"/>
    <w:rsid w:val="00AE2112"/>
    <w:rsid w:val="00AE2316"/>
    <w:rsid w:val="00AE23BF"/>
    <w:rsid w:val="00AE2B7E"/>
    <w:rsid w:val="00AE2FC9"/>
    <w:rsid w:val="00AE3285"/>
    <w:rsid w:val="00AE34C1"/>
    <w:rsid w:val="00AE5006"/>
    <w:rsid w:val="00AE5DD8"/>
    <w:rsid w:val="00AE7641"/>
    <w:rsid w:val="00AE7EC4"/>
    <w:rsid w:val="00AF0175"/>
    <w:rsid w:val="00AF0673"/>
    <w:rsid w:val="00AF117B"/>
    <w:rsid w:val="00AF1BCE"/>
    <w:rsid w:val="00AF1F18"/>
    <w:rsid w:val="00AF20E1"/>
    <w:rsid w:val="00AF24ED"/>
    <w:rsid w:val="00AF3906"/>
    <w:rsid w:val="00AF412A"/>
    <w:rsid w:val="00AF4924"/>
    <w:rsid w:val="00AF4A73"/>
    <w:rsid w:val="00AF4BDF"/>
    <w:rsid w:val="00AF4D0C"/>
    <w:rsid w:val="00AF5B0B"/>
    <w:rsid w:val="00AF6277"/>
    <w:rsid w:val="00AF6832"/>
    <w:rsid w:val="00AF7264"/>
    <w:rsid w:val="00B00967"/>
    <w:rsid w:val="00B019CA"/>
    <w:rsid w:val="00B01E1C"/>
    <w:rsid w:val="00B035AB"/>
    <w:rsid w:val="00B04F84"/>
    <w:rsid w:val="00B0537F"/>
    <w:rsid w:val="00B062C6"/>
    <w:rsid w:val="00B07463"/>
    <w:rsid w:val="00B07C43"/>
    <w:rsid w:val="00B102E7"/>
    <w:rsid w:val="00B10456"/>
    <w:rsid w:val="00B1126D"/>
    <w:rsid w:val="00B12C5E"/>
    <w:rsid w:val="00B1321B"/>
    <w:rsid w:val="00B1375E"/>
    <w:rsid w:val="00B13CA9"/>
    <w:rsid w:val="00B1613C"/>
    <w:rsid w:val="00B1619B"/>
    <w:rsid w:val="00B165E5"/>
    <w:rsid w:val="00B16A1B"/>
    <w:rsid w:val="00B16B3F"/>
    <w:rsid w:val="00B16DBC"/>
    <w:rsid w:val="00B16EF7"/>
    <w:rsid w:val="00B1731E"/>
    <w:rsid w:val="00B2000F"/>
    <w:rsid w:val="00B201BB"/>
    <w:rsid w:val="00B20256"/>
    <w:rsid w:val="00B2170E"/>
    <w:rsid w:val="00B21795"/>
    <w:rsid w:val="00B21D3F"/>
    <w:rsid w:val="00B21DBF"/>
    <w:rsid w:val="00B2200D"/>
    <w:rsid w:val="00B22A21"/>
    <w:rsid w:val="00B23F6D"/>
    <w:rsid w:val="00B2413E"/>
    <w:rsid w:val="00B2483B"/>
    <w:rsid w:val="00B24ACB"/>
    <w:rsid w:val="00B24B97"/>
    <w:rsid w:val="00B255A2"/>
    <w:rsid w:val="00B257A2"/>
    <w:rsid w:val="00B266BF"/>
    <w:rsid w:val="00B26D3C"/>
    <w:rsid w:val="00B274D9"/>
    <w:rsid w:val="00B27847"/>
    <w:rsid w:val="00B278AA"/>
    <w:rsid w:val="00B30704"/>
    <w:rsid w:val="00B312F2"/>
    <w:rsid w:val="00B313FE"/>
    <w:rsid w:val="00B31B02"/>
    <w:rsid w:val="00B31C57"/>
    <w:rsid w:val="00B34A53"/>
    <w:rsid w:val="00B34BD0"/>
    <w:rsid w:val="00B34E0C"/>
    <w:rsid w:val="00B3671B"/>
    <w:rsid w:val="00B37341"/>
    <w:rsid w:val="00B375C5"/>
    <w:rsid w:val="00B415D8"/>
    <w:rsid w:val="00B41AD1"/>
    <w:rsid w:val="00B41DB5"/>
    <w:rsid w:val="00B43918"/>
    <w:rsid w:val="00B440F9"/>
    <w:rsid w:val="00B4418A"/>
    <w:rsid w:val="00B44360"/>
    <w:rsid w:val="00B444C1"/>
    <w:rsid w:val="00B45154"/>
    <w:rsid w:val="00B45855"/>
    <w:rsid w:val="00B47286"/>
    <w:rsid w:val="00B4777C"/>
    <w:rsid w:val="00B47788"/>
    <w:rsid w:val="00B47AD8"/>
    <w:rsid w:val="00B505AB"/>
    <w:rsid w:val="00B506A8"/>
    <w:rsid w:val="00B51F75"/>
    <w:rsid w:val="00B5209F"/>
    <w:rsid w:val="00B52446"/>
    <w:rsid w:val="00B552C5"/>
    <w:rsid w:val="00B5546E"/>
    <w:rsid w:val="00B555F5"/>
    <w:rsid w:val="00B55E9E"/>
    <w:rsid w:val="00B56876"/>
    <w:rsid w:val="00B577F3"/>
    <w:rsid w:val="00B603F1"/>
    <w:rsid w:val="00B60560"/>
    <w:rsid w:val="00B605EB"/>
    <w:rsid w:val="00B60EC4"/>
    <w:rsid w:val="00B6143E"/>
    <w:rsid w:val="00B61728"/>
    <w:rsid w:val="00B62748"/>
    <w:rsid w:val="00B632AA"/>
    <w:rsid w:val="00B632BD"/>
    <w:rsid w:val="00B6358D"/>
    <w:rsid w:val="00B64208"/>
    <w:rsid w:val="00B647F6"/>
    <w:rsid w:val="00B6538D"/>
    <w:rsid w:val="00B657CB"/>
    <w:rsid w:val="00B65AB8"/>
    <w:rsid w:val="00B65BBC"/>
    <w:rsid w:val="00B65FD0"/>
    <w:rsid w:val="00B66299"/>
    <w:rsid w:val="00B6646E"/>
    <w:rsid w:val="00B66C74"/>
    <w:rsid w:val="00B66E12"/>
    <w:rsid w:val="00B71109"/>
    <w:rsid w:val="00B71FE2"/>
    <w:rsid w:val="00B723F7"/>
    <w:rsid w:val="00B747B3"/>
    <w:rsid w:val="00B74C26"/>
    <w:rsid w:val="00B758E3"/>
    <w:rsid w:val="00B75AD5"/>
    <w:rsid w:val="00B75D92"/>
    <w:rsid w:val="00B75E4E"/>
    <w:rsid w:val="00B76576"/>
    <w:rsid w:val="00B76807"/>
    <w:rsid w:val="00B76CC3"/>
    <w:rsid w:val="00B76D44"/>
    <w:rsid w:val="00B76D70"/>
    <w:rsid w:val="00B76E06"/>
    <w:rsid w:val="00B7707D"/>
    <w:rsid w:val="00B770EF"/>
    <w:rsid w:val="00B804EA"/>
    <w:rsid w:val="00B82042"/>
    <w:rsid w:val="00B82521"/>
    <w:rsid w:val="00B825B6"/>
    <w:rsid w:val="00B82F71"/>
    <w:rsid w:val="00B84604"/>
    <w:rsid w:val="00B84B8E"/>
    <w:rsid w:val="00B8513B"/>
    <w:rsid w:val="00B8547E"/>
    <w:rsid w:val="00B85FBF"/>
    <w:rsid w:val="00B86927"/>
    <w:rsid w:val="00B86C91"/>
    <w:rsid w:val="00B87181"/>
    <w:rsid w:val="00B87644"/>
    <w:rsid w:val="00B90227"/>
    <w:rsid w:val="00B918AB"/>
    <w:rsid w:val="00B91A02"/>
    <w:rsid w:val="00B92A02"/>
    <w:rsid w:val="00B92B17"/>
    <w:rsid w:val="00B92B47"/>
    <w:rsid w:val="00B92EBE"/>
    <w:rsid w:val="00B93049"/>
    <w:rsid w:val="00B93B92"/>
    <w:rsid w:val="00B93C0D"/>
    <w:rsid w:val="00B94DF1"/>
    <w:rsid w:val="00B95DB5"/>
    <w:rsid w:val="00B96701"/>
    <w:rsid w:val="00B96868"/>
    <w:rsid w:val="00B96B05"/>
    <w:rsid w:val="00B96C3A"/>
    <w:rsid w:val="00B9768A"/>
    <w:rsid w:val="00B978F8"/>
    <w:rsid w:val="00BA02C3"/>
    <w:rsid w:val="00BA0F1B"/>
    <w:rsid w:val="00BA1A03"/>
    <w:rsid w:val="00BA1D9A"/>
    <w:rsid w:val="00BA1E72"/>
    <w:rsid w:val="00BA2A48"/>
    <w:rsid w:val="00BA3DEE"/>
    <w:rsid w:val="00BA3EB1"/>
    <w:rsid w:val="00BA4D32"/>
    <w:rsid w:val="00BA54FB"/>
    <w:rsid w:val="00BA64C5"/>
    <w:rsid w:val="00BA6DE2"/>
    <w:rsid w:val="00BA6E0B"/>
    <w:rsid w:val="00BA7D62"/>
    <w:rsid w:val="00BB08C1"/>
    <w:rsid w:val="00BB28DC"/>
    <w:rsid w:val="00BB413B"/>
    <w:rsid w:val="00BB4950"/>
    <w:rsid w:val="00BB51BF"/>
    <w:rsid w:val="00BB53E5"/>
    <w:rsid w:val="00BB5DEC"/>
    <w:rsid w:val="00BB5EA3"/>
    <w:rsid w:val="00BB6860"/>
    <w:rsid w:val="00BB7BEE"/>
    <w:rsid w:val="00BC019B"/>
    <w:rsid w:val="00BC0A51"/>
    <w:rsid w:val="00BC0F47"/>
    <w:rsid w:val="00BC1722"/>
    <w:rsid w:val="00BC1E46"/>
    <w:rsid w:val="00BC1E8A"/>
    <w:rsid w:val="00BC1F78"/>
    <w:rsid w:val="00BC2B69"/>
    <w:rsid w:val="00BC2CCF"/>
    <w:rsid w:val="00BC2F18"/>
    <w:rsid w:val="00BC314B"/>
    <w:rsid w:val="00BC4288"/>
    <w:rsid w:val="00BC434F"/>
    <w:rsid w:val="00BC491C"/>
    <w:rsid w:val="00BC4922"/>
    <w:rsid w:val="00BC4B67"/>
    <w:rsid w:val="00BC5D3A"/>
    <w:rsid w:val="00BC6A3C"/>
    <w:rsid w:val="00BC7166"/>
    <w:rsid w:val="00BC7421"/>
    <w:rsid w:val="00BD05CF"/>
    <w:rsid w:val="00BD07BB"/>
    <w:rsid w:val="00BD0DBE"/>
    <w:rsid w:val="00BD11AC"/>
    <w:rsid w:val="00BD19D1"/>
    <w:rsid w:val="00BD243C"/>
    <w:rsid w:val="00BD2699"/>
    <w:rsid w:val="00BD2E55"/>
    <w:rsid w:val="00BD5B3C"/>
    <w:rsid w:val="00BD5BD7"/>
    <w:rsid w:val="00BD695B"/>
    <w:rsid w:val="00BD6F12"/>
    <w:rsid w:val="00BD7CE8"/>
    <w:rsid w:val="00BE0278"/>
    <w:rsid w:val="00BE10DB"/>
    <w:rsid w:val="00BE114C"/>
    <w:rsid w:val="00BE12BB"/>
    <w:rsid w:val="00BE163B"/>
    <w:rsid w:val="00BE212F"/>
    <w:rsid w:val="00BE353E"/>
    <w:rsid w:val="00BE39D0"/>
    <w:rsid w:val="00BE3E5D"/>
    <w:rsid w:val="00BE410D"/>
    <w:rsid w:val="00BE48C6"/>
    <w:rsid w:val="00BE4BA8"/>
    <w:rsid w:val="00BE5155"/>
    <w:rsid w:val="00BE5626"/>
    <w:rsid w:val="00BE5AD1"/>
    <w:rsid w:val="00BE6058"/>
    <w:rsid w:val="00BE626C"/>
    <w:rsid w:val="00BE64F5"/>
    <w:rsid w:val="00BE6589"/>
    <w:rsid w:val="00BE67BC"/>
    <w:rsid w:val="00BE6ED6"/>
    <w:rsid w:val="00BE7310"/>
    <w:rsid w:val="00BE7846"/>
    <w:rsid w:val="00BF06F5"/>
    <w:rsid w:val="00BF0978"/>
    <w:rsid w:val="00BF23C6"/>
    <w:rsid w:val="00BF25F8"/>
    <w:rsid w:val="00BF312C"/>
    <w:rsid w:val="00BF379D"/>
    <w:rsid w:val="00BF426C"/>
    <w:rsid w:val="00BF44CA"/>
    <w:rsid w:val="00BF4E37"/>
    <w:rsid w:val="00BF50BE"/>
    <w:rsid w:val="00BF5A22"/>
    <w:rsid w:val="00BF5E8C"/>
    <w:rsid w:val="00BF672B"/>
    <w:rsid w:val="00BF6EB5"/>
    <w:rsid w:val="00BF7836"/>
    <w:rsid w:val="00BF7A12"/>
    <w:rsid w:val="00C00B00"/>
    <w:rsid w:val="00C0147C"/>
    <w:rsid w:val="00C01F44"/>
    <w:rsid w:val="00C027CC"/>
    <w:rsid w:val="00C034C0"/>
    <w:rsid w:val="00C0411F"/>
    <w:rsid w:val="00C04953"/>
    <w:rsid w:val="00C0525F"/>
    <w:rsid w:val="00C0774F"/>
    <w:rsid w:val="00C07E00"/>
    <w:rsid w:val="00C10303"/>
    <w:rsid w:val="00C10B49"/>
    <w:rsid w:val="00C10C1D"/>
    <w:rsid w:val="00C10CC8"/>
    <w:rsid w:val="00C1185A"/>
    <w:rsid w:val="00C1186F"/>
    <w:rsid w:val="00C1257E"/>
    <w:rsid w:val="00C126C5"/>
    <w:rsid w:val="00C12F28"/>
    <w:rsid w:val="00C1327E"/>
    <w:rsid w:val="00C14C36"/>
    <w:rsid w:val="00C14F73"/>
    <w:rsid w:val="00C164E1"/>
    <w:rsid w:val="00C168F7"/>
    <w:rsid w:val="00C16C67"/>
    <w:rsid w:val="00C16FC7"/>
    <w:rsid w:val="00C17BD5"/>
    <w:rsid w:val="00C17BDB"/>
    <w:rsid w:val="00C2050A"/>
    <w:rsid w:val="00C2061F"/>
    <w:rsid w:val="00C20E6A"/>
    <w:rsid w:val="00C219DA"/>
    <w:rsid w:val="00C21D6C"/>
    <w:rsid w:val="00C235C9"/>
    <w:rsid w:val="00C23FA8"/>
    <w:rsid w:val="00C2413E"/>
    <w:rsid w:val="00C245A0"/>
    <w:rsid w:val="00C245AD"/>
    <w:rsid w:val="00C24C59"/>
    <w:rsid w:val="00C2530E"/>
    <w:rsid w:val="00C25702"/>
    <w:rsid w:val="00C2576F"/>
    <w:rsid w:val="00C27392"/>
    <w:rsid w:val="00C273FA"/>
    <w:rsid w:val="00C27B2F"/>
    <w:rsid w:val="00C27CE6"/>
    <w:rsid w:val="00C27DF0"/>
    <w:rsid w:val="00C3079B"/>
    <w:rsid w:val="00C3197A"/>
    <w:rsid w:val="00C320C4"/>
    <w:rsid w:val="00C3296C"/>
    <w:rsid w:val="00C330D3"/>
    <w:rsid w:val="00C33CC5"/>
    <w:rsid w:val="00C34BBE"/>
    <w:rsid w:val="00C35227"/>
    <w:rsid w:val="00C36903"/>
    <w:rsid w:val="00C36BBF"/>
    <w:rsid w:val="00C37A6A"/>
    <w:rsid w:val="00C37F27"/>
    <w:rsid w:val="00C408C7"/>
    <w:rsid w:val="00C40CCF"/>
    <w:rsid w:val="00C4178A"/>
    <w:rsid w:val="00C41C06"/>
    <w:rsid w:val="00C420F6"/>
    <w:rsid w:val="00C42E6B"/>
    <w:rsid w:val="00C44292"/>
    <w:rsid w:val="00C446A2"/>
    <w:rsid w:val="00C44D1C"/>
    <w:rsid w:val="00C455F3"/>
    <w:rsid w:val="00C45EF9"/>
    <w:rsid w:val="00C46972"/>
    <w:rsid w:val="00C473DC"/>
    <w:rsid w:val="00C47512"/>
    <w:rsid w:val="00C47FFD"/>
    <w:rsid w:val="00C50146"/>
    <w:rsid w:val="00C5026A"/>
    <w:rsid w:val="00C50860"/>
    <w:rsid w:val="00C50F0F"/>
    <w:rsid w:val="00C51471"/>
    <w:rsid w:val="00C5158A"/>
    <w:rsid w:val="00C519C6"/>
    <w:rsid w:val="00C51F42"/>
    <w:rsid w:val="00C52071"/>
    <w:rsid w:val="00C52A59"/>
    <w:rsid w:val="00C52F8C"/>
    <w:rsid w:val="00C538DA"/>
    <w:rsid w:val="00C54543"/>
    <w:rsid w:val="00C54A14"/>
    <w:rsid w:val="00C55148"/>
    <w:rsid w:val="00C559E0"/>
    <w:rsid w:val="00C56206"/>
    <w:rsid w:val="00C56E60"/>
    <w:rsid w:val="00C5765D"/>
    <w:rsid w:val="00C57FF7"/>
    <w:rsid w:val="00C6036E"/>
    <w:rsid w:val="00C604EF"/>
    <w:rsid w:val="00C610C2"/>
    <w:rsid w:val="00C61153"/>
    <w:rsid w:val="00C6122B"/>
    <w:rsid w:val="00C61D9F"/>
    <w:rsid w:val="00C622DD"/>
    <w:rsid w:val="00C62AD4"/>
    <w:rsid w:val="00C630BF"/>
    <w:rsid w:val="00C639E4"/>
    <w:rsid w:val="00C6464F"/>
    <w:rsid w:val="00C6512A"/>
    <w:rsid w:val="00C652AE"/>
    <w:rsid w:val="00C65584"/>
    <w:rsid w:val="00C65957"/>
    <w:rsid w:val="00C662C9"/>
    <w:rsid w:val="00C66789"/>
    <w:rsid w:val="00C71370"/>
    <w:rsid w:val="00C71832"/>
    <w:rsid w:val="00C723D1"/>
    <w:rsid w:val="00C72670"/>
    <w:rsid w:val="00C72D82"/>
    <w:rsid w:val="00C7392C"/>
    <w:rsid w:val="00C73E65"/>
    <w:rsid w:val="00C7400D"/>
    <w:rsid w:val="00C74DE1"/>
    <w:rsid w:val="00C7548C"/>
    <w:rsid w:val="00C75A37"/>
    <w:rsid w:val="00C76717"/>
    <w:rsid w:val="00C76775"/>
    <w:rsid w:val="00C77895"/>
    <w:rsid w:val="00C809F2"/>
    <w:rsid w:val="00C80F91"/>
    <w:rsid w:val="00C81014"/>
    <w:rsid w:val="00C8197A"/>
    <w:rsid w:val="00C81B7E"/>
    <w:rsid w:val="00C81DD4"/>
    <w:rsid w:val="00C81E42"/>
    <w:rsid w:val="00C82D24"/>
    <w:rsid w:val="00C84232"/>
    <w:rsid w:val="00C84319"/>
    <w:rsid w:val="00C843EF"/>
    <w:rsid w:val="00C8440D"/>
    <w:rsid w:val="00C84779"/>
    <w:rsid w:val="00C85123"/>
    <w:rsid w:val="00C85AD7"/>
    <w:rsid w:val="00C85C6B"/>
    <w:rsid w:val="00C861E4"/>
    <w:rsid w:val="00C86572"/>
    <w:rsid w:val="00C8687A"/>
    <w:rsid w:val="00C86ACF"/>
    <w:rsid w:val="00C86B9B"/>
    <w:rsid w:val="00C91304"/>
    <w:rsid w:val="00C9324B"/>
    <w:rsid w:val="00C934AA"/>
    <w:rsid w:val="00C93AD5"/>
    <w:rsid w:val="00C93EE6"/>
    <w:rsid w:val="00C94007"/>
    <w:rsid w:val="00C941D3"/>
    <w:rsid w:val="00C950A4"/>
    <w:rsid w:val="00C95333"/>
    <w:rsid w:val="00C95D11"/>
    <w:rsid w:val="00C95FE1"/>
    <w:rsid w:val="00C962B5"/>
    <w:rsid w:val="00C96986"/>
    <w:rsid w:val="00C97076"/>
    <w:rsid w:val="00C97266"/>
    <w:rsid w:val="00CA0561"/>
    <w:rsid w:val="00CA0564"/>
    <w:rsid w:val="00CA0765"/>
    <w:rsid w:val="00CA2736"/>
    <w:rsid w:val="00CA2B97"/>
    <w:rsid w:val="00CA2BB0"/>
    <w:rsid w:val="00CA2CFF"/>
    <w:rsid w:val="00CA3367"/>
    <w:rsid w:val="00CA3396"/>
    <w:rsid w:val="00CA3ACA"/>
    <w:rsid w:val="00CA3ED6"/>
    <w:rsid w:val="00CA40C6"/>
    <w:rsid w:val="00CA4173"/>
    <w:rsid w:val="00CA43D6"/>
    <w:rsid w:val="00CA4667"/>
    <w:rsid w:val="00CA4C9B"/>
    <w:rsid w:val="00CA5364"/>
    <w:rsid w:val="00CA62BE"/>
    <w:rsid w:val="00CA67EB"/>
    <w:rsid w:val="00CA6A23"/>
    <w:rsid w:val="00CA6D6D"/>
    <w:rsid w:val="00CA6F59"/>
    <w:rsid w:val="00CA7819"/>
    <w:rsid w:val="00CB0A98"/>
    <w:rsid w:val="00CB0BC2"/>
    <w:rsid w:val="00CB0D7C"/>
    <w:rsid w:val="00CB14DA"/>
    <w:rsid w:val="00CB1579"/>
    <w:rsid w:val="00CB15B1"/>
    <w:rsid w:val="00CB161A"/>
    <w:rsid w:val="00CB254D"/>
    <w:rsid w:val="00CB2D86"/>
    <w:rsid w:val="00CB2E5A"/>
    <w:rsid w:val="00CB3423"/>
    <w:rsid w:val="00CB4383"/>
    <w:rsid w:val="00CB5180"/>
    <w:rsid w:val="00CB51C0"/>
    <w:rsid w:val="00CB55A7"/>
    <w:rsid w:val="00CB56BF"/>
    <w:rsid w:val="00CB6BF5"/>
    <w:rsid w:val="00CB76DF"/>
    <w:rsid w:val="00CB7D63"/>
    <w:rsid w:val="00CB7EE6"/>
    <w:rsid w:val="00CC00CE"/>
    <w:rsid w:val="00CC0E9A"/>
    <w:rsid w:val="00CC11F3"/>
    <w:rsid w:val="00CC13E6"/>
    <w:rsid w:val="00CC161A"/>
    <w:rsid w:val="00CC287B"/>
    <w:rsid w:val="00CC2E49"/>
    <w:rsid w:val="00CC316C"/>
    <w:rsid w:val="00CC3CB4"/>
    <w:rsid w:val="00CC46F0"/>
    <w:rsid w:val="00CC4934"/>
    <w:rsid w:val="00CC5450"/>
    <w:rsid w:val="00CC5D15"/>
    <w:rsid w:val="00CC67E4"/>
    <w:rsid w:val="00CC6FA2"/>
    <w:rsid w:val="00CC73E9"/>
    <w:rsid w:val="00CC77CE"/>
    <w:rsid w:val="00CC7901"/>
    <w:rsid w:val="00CD09FB"/>
    <w:rsid w:val="00CD10DF"/>
    <w:rsid w:val="00CD133E"/>
    <w:rsid w:val="00CD16C9"/>
    <w:rsid w:val="00CD1A13"/>
    <w:rsid w:val="00CD1BCE"/>
    <w:rsid w:val="00CD1F93"/>
    <w:rsid w:val="00CD2BEB"/>
    <w:rsid w:val="00CD3056"/>
    <w:rsid w:val="00CD3C5E"/>
    <w:rsid w:val="00CD3DB4"/>
    <w:rsid w:val="00CD4C47"/>
    <w:rsid w:val="00CD4ECC"/>
    <w:rsid w:val="00CD5F06"/>
    <w:rsid w:val="00CD76D7"/>
    <w:rsid w:val="00CE0B09"/>
    <w:rsid w:val="00CE0E6F"/>
    <w:rsid w:val="00CE15CA"/>
    <w:rsid w:val="00CE19CB"/>
    <w:rsid w:val="00CE1B43"/>
    <w:rsid w:val="00CE30C7"/>
    <w:rsid w:val="00CE32E0"/>
    <w:rsid w:val="00CE3673"/>
    <w:rsid w:val="00CE465A"/>
    <w:rsid w:val="00CE54D0"/>
    <w:rsid w:val="00CE5832"/>
    <w:rsid w:val="00CE5994"/>
    <w:rsid w:val="00CE59A8"/>
    <w:rsid w:val="00CE6527"/>
    <w:rsid w:val="00CE6E8F"/>
    <w:rsid w:val="00CE70AD"/>
    <w:rsid w:val="00CE7274"/>
    <w:rsid w:val="00CF186A"/>
    <w:rsid w:val="00CF1F99"/>
    <w:rsid w:val="00CF297B"/>
    <w:rsid w:val="00CF30C9"/>
    <w:rsid w:val="00CF31D8"/>
    <w:rsid w:val="00CF3F43"/>
    <w:rsid w:val="00CF40B5"/>
    <w:rsid w:val="00CF423A"/>
    <w:rsid w:val="00CF4F6D"/>
    <w:rsid w:val="00CF52FB"/>
    <w:rsid w:val="00CF5936"/>
    <w:rsid w:val="00CF6135"/>
    <w:rsid w:val="00CF6793"/>
    <w:rsid w:val="00CF78A3"/>
    <w:rsid w:val="00CF7BF3"/>
    <w:rsid w:val="00D000F2"/>
    <w:rsid w:val="00D002FE"/>
    <w:rsid w:val="00D0173E"/>
    <w:rsid w:val="00D01871"/>
    <w:rsid w:val="00D0199A"/>
    <w:rsid w:val="00D01E36"/>
    <w:rsid w:val="00D0332A"/>
    <w:rsid w:val="00D0436F"/>
    <w:rsid w:val="00D05144"/>
    <w:rsid w:val="00D06DFE"/>
    <w:rsid w:val="00D07C04"/>
    <w:rsid w:val="00D07EC8"/>
    <w:rsid w:val="00D103EB"/>
    <w:rsid w:val="00D10690"/>
    <w:rsid w:val="00D10B3C"/>
    <w:rsid w:val="00D122D0"/>
    <w:rsid w:val="00D123CF"/>
    <w:rsid w:val="00D123E7"/>
    <w:rsid w:val="00D13185"/>
    <w:rsid w:val="00D13CBA"/>
    <w:rsid w:val="00D14BBD"/>
    <w:rsid w:val="00D15BB4"/>
    <w:rsid w:val="00D15D93"/>
    <w:rsid w:val="00D15ECB"/>
    <w:rsid w:val="00D160A0"/>
    <w:rsid w:val="00D16B71"/>
    <w:rsid w:val="00D17115"/>
    <w:rsid w:val="00D17E65"/>
    <w:rsid w:val="00D17FA9"/>
    <w:rsid w:val="00D2017C"/>
    <w:rsid w:val="00D2090C"/>
    <w:rsid w:val="00D20CCB"/>
    <w:rsid w:val="00D20F4B"/>
    <w:rsid w:val="00D20F62"/>
    <w:rsid w:val="00D2121E"/>
    <w:rsid w:val="00D21A0A"/>
    <w:rsid w:val="00D220F5"/>
    <w:rsid w:val="00D2431E"/>
    <w:rsid w:val="00D24485"/>
    <w:rsid w:val="00D251F3"/>
    <w:rsid w:val="00D253FD"/>
    <w:rsid w:val="00D26601"/>
    <w:rsid w:val="00D2674F"/>
    <w:rsid w:val="00D27325"/>
    <w:rsid w:val="00D27D49"/>
    <w:rsid w:val="00D30C68"/>
    <w:rsid w:val="00D30DC8"/>
    <w:rsid w:val="00D316B8"/>
    <w:rsid w:val="00D31E8B"/>
    <w:rsid w:val="00D32D2E"/>
    <w:rsid w:val="00D33494"/>
    <w:rsid w:val="00D33B09"/>
    <w:rsid w:val="00D33DCE"/>
    <w:rsid w:val="00D34407"/>
    <w:rsid w:val="00D3441A"/>
    <w:rsid w:val="00D3446D"/>
    <w:rsid w:val="00D3470C"/>
    <w:rsid w:val="00D34905"/>
    <w:rsid w:val="00D34B1A"/>
    <w:rsid w:val="00D35BF6"/>
    <w:rsid w:val="00D36B55"/>
    <w:rsid w:val="00D40393"/>
    <w:rsid w:val="00D404C6"/>
    <w:rsid w:val="00D420BB"/>
    <w:rsid w:val="00D421A2"/>
    <w:rsid w:val="00D421C1"/>
    <w:rsid w:val="00D42918"/>
    <w:rsid w:val="00D42C62"/>
    <w:rsid w:val="00D44D79"/>
    <w:rsid w:val="00D4663F"/>
    <w:rsid w:val="00D4725C"/>
    <w:rsid w:val="00D472A1"/>
    <w:rsid w:val="00D4792C"/>
    <w:rsid w:val="00D507CB"/>
    <w:rsid w:val="00D50D76"/>
    <w:rsid w:val="00D50E1F"/>
    <w:rsid w:val="00D51042"/>
    <w:rsid w:val="00D51FDE"/>
    <w:rsid w:val="00D52094"/>
    <w:rsid w:val="00D526DE"/>
    <w:rsid w:val="00D52982"/>
    <w:rsid w:val="00D5346B"/>
    <w:rsid w:val="00D550ED"/>
    <w:rsid w:val="00D5532C"/>
    <w:rsid w:val="00D56036"/>
    <w:rsid w:val="00D566F2"/>
    <w:rsid w:val="00D56777"/>
    <w:rsid w:val="00D57574"/>
    <w:rsid w:val="00D57E6E"/>
    <w:rsid w:val="00D57F24"/>
    <w:rsid w:val="00D60363"/>
    <w:rsid w:val="00D60516"/>
    <w:rsid w:val="00D60C9E"/>
    <w:rsid w:val="00D60CDC"/>
    <w:rsid w:val="00D613F0"/>
    <w:rsid w:val="00D61559"/>
    <w:rsid w:val="00D61613"/>
    <w:rsid w:val="00D619CB"/>
    <w:rsid w:val="00D62176"/>
    <w:rsid w:val="00D6282E"/>
    <w:rsid w:val="00D62DC1"/>
    <w:rsid w:val="00D63D64"/>
    <w:rsid w:val="00D64614"/>
    <w:rsid w:val="00D65838"/>
    <w:rsid w:val="00D65D06"/>
    <w:rsid w:val="00D65E2B"/>
    <w:rsid w:val="00D66A3A"/>
    <w:rsid w:val="00D67D56"/>
    <w:rsid w:val="00D70069"/>
    <w:rsid w:val="00D70BA7"/>
    <w:rsid w:val="00D7172A"/>
    <w:rsid w:val="00D71A07"/>
    <w:rsid w:val="00D71F76"/>
    <w:rsid w:val="00D724AE"/>
    <w:rsid w:val="00D726A7"/>
    <w:rsid w:val="00D73612"/>
    <w:rsid w:val="00D73F6D"/>
    <w:rsid w:val="00D7474B"/>
    <w:rsid w:val="00D758A7"/>
    <w:rsid w:val="00D75BA5"/>
    <w:rsid w:val="00D760F8"/>
    <w:rsid w:val="00D76815"/>
    <w:rsid w:val="00D77FF5"/>
    <w:rsid w:val="00D8172C"/>
    <w:rsid w:val="00D81C8E"/>
    <w:rsid w:val="00D820B9"/>
    <w:rsid w:val="00D82373"/>
    <w:rsid w:val="00D82E2F"/>
    <w:rsid w:val="00D83254"/>
    <w:rsid w:val="00D84FCD"/>
    <w:rsid w:val="00D86628"/>
    <w:rsid w:val="00D86992"/>
    <w:rsid w:val="00D86E7A"/>
    <w:rsid w:val="00D90126"/>
    <w:rsid w:val="00D90383"/>
    <w:rsid w:val="00D904D3"/>
    <w:rsid w:val="00D90783"/>
    <w:rsid w:val="00D90D8D"/>
    <w:rsid w:val="00D91446"/>
    <w:rsid w:val="00D92156"/>
    <w:rsid w:val="00D92AE9"/>
    <w:rsid w:val="00D93928"/>
    <w:rsid w:val="00D939CD"/>
    <w:rsid w:val="00D93DF9"/>
    <w:rsid w:val="00D93E08"/>
    <w:rsid w:val="00D94879"/>
    <w:rsid w:val="00D95142"/>
    <w:rsid w:val="00D953EB"/>
    <w:rsid w:val="00D95834"/>
    <w:rsid w:val="00D95E7F"/>
    <w:rsid w:val="00D95EC9"/>
    <w:rsid w:val="00D9645B"/>
    <w:rsid w:val="00D966E6"/>
    <w:rsid w:val="00D97B30"/>
    <w:rsid w:val="00D97EF6"/>
    <w:rsid w:val="00DA00FB"/>
    <w:rsid w:val="00DA076D"/>
    <w:rsid w:val="00DA1182"/>
    <w:rsid w:val="00DA11B3"/>
    <w:rsid w:val="00DA1948"/>
    <w:rsid w:val="00DA27F1"/>
    <w:rsid w:val="00DA2A92"/>
    <w:rsid w:val="00DA3717"/>
    <w:rsid w:val="00DA38E2"/>
    <w:rsid w:val="00DA4167"/>
    <w:rsid w:val="00DA5219"/>
    <w:rsid w:val="00DA5466"/>
    <w:rsid w:val="00DA5667"/>
    <w:rsid w:val="00DA598A"/>
    <w:rsid w:val="00DA5FB8"/>
    <w:rsid w:val="00DA6425"/>
    <w:rsid w:val="00DA645F"/>
    <w:rsid w:val="00DA674C"/>
    <w:rsid w:val="00DA71DE"/>
    <w:rsid w:val="00DA7271"/>
    <w:rsid w:val="00DA730C"/>
    <w:rsid w:val="00DB0A51"/>
    <w:rsid w:val="00DB0C26"/>
    <w:rsid w:val="00DB0FE2"/>
    <w:rsid w:val="00DB2D5C"/>
    <w:rsid w:val="00DB3743"/>
    <w:rsid w:val="00DB4030"/>
    <w:rsid w:val="00DB57A3"/>
    <w:rsid w:val="00DB5F07"/>
    <w:rsid w:val="00DB5F7A"/>
    <w:rsid w:val="00DB6F1B"/>
    <w:rsid w:val="00DB74EB"/>
    <w:rsid w:val="00DB76D8"/>
    <w:rsid w:val="00DC019D"/>
    <w:rsid w:val="00DC059E"/>
    <w:rsid w:val="00DC06E8"/>
    <w:rsid w:val="00DC0D71"/>
    <w:rsid w:val="00DC12E6"/>
    <w:rsid w:val="00DC164B"/>
    <w:rsid w:val="00DC1D1E"/>
    <w:rsid w:val="00DC280D"/>
    <w:rsid w:val="00DC28D6"/>
    <w:rsid w:val="00DC4662"/>
    <w:rsid w:val="00DC4877"/>
    <w:rsid w:val="00DC573B"/>
    <w:rsid w:val="00DC5C55"/>
    <w:rsid w:val="00DC77EE"/>
    <w:rsid w:val="00DD00B2"/>
    <w:rsid w:val="00DD1A9F"/>
    <w:rsid w:val="00DD1B87"/>
    <w:rsid w:val="00DD1F1B"/>
    <w:rsid w:val="00DD2569"/>
    <w:rsid w:val="00DD27B5"/>
    <w:rsid w:val="00DD29F2"/>
    <w:rsid w:val="00DD2EBE"/>
    <w:rsid w:val="00DD36E6"/>
    <w:rsid w:val="00DD3AE1"/>
    <w:rsid w:val="00DD3DAE"/>
    <w:rsid w:val="00DD3E37"/>
    <w:rsid w:val="00DD514A"/>
    <w:rsid w:val="00DD5EB6"/>
    <w:rsid w:val="00DD7487"/>
    <w:rsid w:val="00DD7655"/>
    <w:rsid w:val="00DD7DE6"/>
    <w:rsid w:val="00DE0294"/>
    <w:rsid w:val="00DE02E7"/>
    <w:rsid w:val="00DE12CF"/>
    <w:rsid w:val="00DE1479"/>
    <w:rsid w:val="00DE1C6F"/>
    <w:rsid w:val="00DE2230"/>
    <w:rsid w:val="00DE3618"/>
    <w:rsid w:val="00DE4239"/>
    <w:rsid w:val="00DE4511"/>
    <w:rsid w:val="00DE47E9"/>
    <w:rsid w:val="00DE4941"/>
    <w:rsid w:val="00DE4D38"/>
    <w:rsid w:val="00DE57A1"/>
    <w:rsid w:val="00DE6B61"/>
    <w:rsid w:val="00DE7955"/>
    <w:rsid w:val="00DE7F07"/>
    <w:rsid w:val="00DF0468"/>
    <w:rsid w:val="00DF1709"/>
    <w:rsid w:val="00DF1903"/>
    <w:rsid w:val="00DF1AD0"/>
    <w:rsid w:val="00DF2313"/>
    <w:rsid w:val="00DF3279"/>
    <w:rsid w:val="00DF3633"/>
    <w:rsid w:val="00DF41D3"/>
    <w:rsid w:val="00DF437E"/>
    <w:rsid w:val="00DF460C"/>
    <w:rsid w:val="00DF4742"/>
    <w:rsid w:val="00DF49CA"/>
    <w:rsid w:val="00DF4A7E"/>
    <w:rsid w:val="00DF4F48"/>
    <w:rsid w:val="00DF5D61"/>
    <w:rsid w:val="00DF6115"/>
    <w:rsid w:val="00DF61E4"/>
    <w:rsid w:val="00DF6989"/>
    <w:rsid w:val="00DF7438"/>
    <w:rsid w:val="00DF7464"/>
    <w:rsid w:val="00DF7588"/>
    <w:rsid w:val="00DF78C9"/>
    <w:rsid w:val="00DF79D4"/>
    <w:rsid w:val="00E01D8D"/>
    <w:rsid w:val="00E02B3F"/>
    <w:rsid w:val="00E02C7C"/>
    <w:rsid w:val="00E0313A"/>
    <w:rsid w:val="00E0321B"/>
    <w:rsid w:val="00E03B6F"/>
    <w:rsid w:val="00E040DB"/>
    <w:rsid w:val="00E04148"/>
    <w:rsid w:val="00E0449E"/>
    <w:rsid w:val="00E049B2"/>
    <w:rsid w:val="00E04A11"/>
    <w:rsid w:val="00E057DB"/>
    <w:rsid w:val="00E05C85"/>
    <w:rsid w:val="00E06155"/>
    <w:rsid w:val="00E06CAA"/>
    <w:rsid w:val="00E06D32"/>
    <w:rsid w:val="00E06E10"/>
    <w:rsid w:val="00E073F6"/>
    <w:rsid w:val="00E07C17"/>
    <w:rsid w:val="00E103B1"/>
    <w:rsid w:val="00E127F6"/>
    <w:rsid w:val="00E12FE9"/>
    <w:rsid w:val="00E13BAE"/>
    <w:rsid w:val="00E13BAF"/>
    <w:rsid w:val="00E14797"/>
    <w:rsid w:val="00E14BF1"/>
    <w:rsid w:val="00E15139"/>
    <w:rsid w:val="00E162C4"/>
    <w:rsid w:val="00E16C0A"/>
    <w:rsid w:val="00E17009"/>
    <w:rsid w:val="00E17696"/>
    <w:rsid w:val="00E20B8C"/>
    <w:rsid w:val="00E214E6"/>
    <w:rsid w:val="00E22883"/>
    <w:rsid w:val="00E22CAF"/>
    <w:rsid w:val="00E233DC"/>
    <w:rsid w:val="00E2340F"/>
    <w:rsid w:val="00E2467A"/>
    <w:rsid w:val="00E247D2"/>
    <w:rsid w:val="00E25A70"/>
    <w:rsid w:val="00E25BE3"/>
    <w:rsid w:val="00E26B0A"/>
    <w:rsid w:val="00E30CC6"/>
    <w:rsid w:val="00E30CC9"/>
    <w:rsid w:val="00E3159D"/>
    <w:rsid w:val="00E316CF"/>
    <w:rsid w:val="00E326C4"/>
    <w:rsid w:val="00E32703"/>
    <w:rsid w:val="00E32B80"/>
    <w:rsid w:val="00E32F14"/>
    <w:rsid w:val="00E33602"/>
    <w:rsid w:val="00E345E2"/>
    <w:rsid w:val="00E345EB"/>
    <w:rsid w:val="00E359D1"/>
    <w:rsid w:val="00E364A4"/>
    <w:rsid w:val="00E3661C"/>
    <w:rsid w:val="00E36914"/>
    <w:rsid w:val="00E36AD8"/>
    <w:rsid w:val="00E36B43"/>
    <w:rsid w:val="00E374E3"/>
    <w:rsid w:val="00E37902"/>
    <w:rsid w:val="00E37AE3"/>
    <w:rsid w:val="00E37CA5"/>
    <w:rsid w:val="00E401DD"/>
    <w:rsid w:val="00E4062E"/>
    <w:rsid w:val="00E409E8"/>
    <w:rsid w:val="00E41533"/>
    <w:rsid w:val="00E41674"/>
    <w:rsid w:val="00E41AE4"/>
    <w:rsid w:val="00E421D4"/>
    <w:rsid w:val="00E4258F"/>
    <w:rsid w:val="00E42E30"/>
    <w:rsid w:val="00E442A8"/>
    <w:rsid w:val="00E447EB"/>
    <w:rsid w:val="00E44A41"/>
    <w:rsid w:val="00E44F99"/>
    <w:rsid w:val="00E4505B"/>
    <w:rsid w:val="00E45715"/>
    <w:rsid w:val="00E45D83"/>
    <w:rsid w:val="00E460C2"/>
    <w:rsid w:val="00E4638C"/>
    <w:rsid w:val="00E4643A"/>
    <w:rsid w:val="00E468B2"/>
    <w:rsid w:val="00E47047"/>
    <w:rsid w:val="00E470FF"/>
    <w:rsid w:val="00E50E79"/>
    <w:rsid w:val="00E5108F"/>
    <w:rsid w:val="00E512ED"/>
    <w:rsid w:val="00E5162B"/>
    <w:rsid w:val="00E52027"/>
    <w:rsid w:val="00E522A4"/>
    <w:rsid w:val="00E52A91"/>
    <w:rsid w:val="00E52A9C"/>
    <w:rsid w:val="00E52E3D"/>
    <w:rsid w:val="00E53E29"/>
    <w:rsid w:val="00E54163"/>
    <w:rsid w:val="00E54228"/>
    <w:rsid w:val="00E54AF5"/>
    <w:rsid w:val="00E54F86"/>
    <w:rsid w:val="00E557BE"/>
    <w:rsid w:val="00E5580A"/>
    <w:rsid w:val="00E55F78"/>
    <w:rsid w:val="00E56B5D"/>
    <w:rsid w:val="00E56BE5"/>
    <w:rsid w:val="00E573EC"/>
    <w:rsid w:val="00E57428"/>
    <w:rsid w:val="00E57D01"/>
    <w:rsid w:val="00E57D39"/>
    <w:rsid w:val="00E6016B"/>
    <w:rsid w:val="00E6091A"/>
    <w:rsid w:val="00E60D73"/>
    <w:rsid w:val="00E61BE3"/>
    <w:rsid w:val="00E61C49"/>
    <w:rsid w:val="00E621FC"/>
    <w:rsid w:val="00E62528"/>
    <w:rsid w:val="00E62AE2"/>
    <w:rsid w:val="00E631DA"/>
    <w:rsid w:val="00E63833"/>
    <w:rsid w:val="00E647C6"/>
    <w:rsid w:val="00E662B9"/>
    <w:rsid w:val="00E66469"/>
    <w:rsid w:val="00E678C4"/>
    <w:rsid w:val="00E6792A"/>
    <w:rsid w:val="00E6792F"/>
    <w:rsid w:val="00E67A5B"/>
    <w:rsid w:val="00E67FB6"/>
    <w:rsid w:val="00E71992"/>
    <w:rsid w:val="00E7252B"/>
    <w:rsid w:val="00E74DBD"/>
    <w:rsid w:val="00E74EF6"/>
    <w:rsid w:val="00E761A0"/>
    <w:rsid w:val="00E80337"/>
    <w:rsid w:val="00E80680"/>
    <w:rsid w:val="00E8068F"/>
    <w:rsid w:val="00E80E21"/>
    <w:rsid w:val="00E8168E"/>
    <w:rsid w:val="00E82763"/>
    <w:rsid w:val="00E82E09"/>
    <w:rsid w:val="00E83B88"/>
    <w:rsid w:val="00E84A6B"/>
    <w:rsid w:val="00E84BFC"/>
    <w:rsid w:val="00E850F0"/>
    <w:rsid w:val="00E86100"/>
    <w:rsid w:val="00E8655B"/>
    <w:rsid w:val="00E86E3E"/>
    <w:rsid w:val="00E86FDC"/>
    <w:rsid w:val="00E8763D"/>
    <w:rsid w:val="00E878C6"/>
    <w:rsid w:val="00E9079D"/>
    <w:rsid w:val="00E9140F"/>
    <w:rsid w:val="00E91726"/>
    <w:rsid w:val="00E940DC"/>
    <w:rsid w:val="00E94989"/>
    <w:rsid w:val="00E94B3A"/>
    <w:rsid w:val="00E94C15"/>
    <w:rsid w:val="00E94E7B"/>
    <w:rsid w:val="00E95792"/>
    <w:rsid w:val="00E95DBC"/>
    <w:rsid w:val="00E9652B"/>
    <w:rsid w:val="00E966A8"/>
    <w:rsid w:val="00E97476"/>
    <w:rsid w:val="00EA0242"/>
    <w:rsid w:val="00EA07C1"/>
    <w:rsid w:val="00EA15FD"/>
    <w:rsid w:val="00EA3337"/>
    <w:rsid w:val="00EA3850"/>
    <w:rsid w:val="00EA419F"/>
    <w:rsid w:val="00EA43D9"/>
    <w:rsid w:val="00EA4E64"/>
    <w:rsid w:val="00EA4F4C"/>
    <w:rsid w:val="00EA5303"/>
    <w:rsid w:val="00EA5975"/>
    <w:rsid w:val="00EA5A79"/>
    <w:rsid w:val="00EA6084"/>
    <w:rsid w:val="00EA6A71"/>
    <w:rsid w:val="00EA6FA2"/>
    <w:rsid w:val="00EA7B76"/>
    <w:rsid w:val="00EB04C8"/>
    <w:rsid w:val="00EB1B9F"/>
    <w:rsid w:val="00EB357E"/>
    <w:rsid w:val="00EB37BA"/>
    <w:rsid w:val="00EB3D03"/>
    <w:rsid w:val="00EB4794"/>
    <w:rsid w:val="00EB4E79"/>
    <w:rsid w:val="00EB53DA"/>
    <w:rsid w:val="00EB55B8"/>
    <w:rsid w:val="00EB5C53"/>
    <w:rsid w:val="00EB5FDB"/>
    <w:rsid w:val="00EB63FD"/>
    <w:rsid w:val="00EC08FB"/>
    <w:rsid w:val="00EC0FE1"/>
    <w:rsid w:val="00EC1028"/>
    <w:rsid w:val="00EC18DB"/>
    <w:rsid w:val="00EC1909"/>
    <w:rsid w:val="00EC3B07"/>
    <w:rsid w:val="00EC56B3"/>
    <w:rsid w:val="00EC5B87"/>
    <w:rsid w:val="00EC5BF5"/>
    <w:rsid w:val="00EC6037"/>
    <w:rsid w:val="00EC6D9D"/>
    <w:rsid w:val="00EC7633"/>
    <w:rsid w:val="00ED07C8"/>
    <w:rsid w:val="00ED123D"/>
    <w:rsid w:val="00ED1506"/>
    <w:rsid w:val="00ED1E6D"/>
    <w:rsid w:val="00ED2739"/>
    <w:rsid w:val="00ED2D7B"/>
    <w:rsid w:val="00ED2FC5"/>
    <w:rsid w:val="00ED33B5"/>
    <w:rsid w:val="00ED3FE0"/>
    <w:rsid w:val="00ED463D"/>
    <w:rsid w:val="00ED4E0F"/>
    <w:rsid w:val="00ED4E22"/>
    <w:rsid w:val="00ED50A7"/>
    <w:rsid w:val="00ED5295"/>
    <w:rsid w:val="00ED5A5A"/>
    <w:rsid w:val="00ED5FC9"/>
    <w:rsid w:val="00ED68E3"/>
    <w:rsid w:val="00ED6E32"/>
    <w:rsid w:val="00ED7981"/>
    <w:rsid w:val="00EE00BE"/>
    <w:rsid w:val="00EE062F"/>
    <w:rsid w:val="00EE0C95"/>
    <w:rsid w:val="00EE1F2D"/>
    <w:rsid w:val="00EE447C"/>
    <w:rsid w:val="00EE47DE"/>
    <w:rsid w:val="00EE4A47"/>
    <w:rsid w:val="00EE5652"/>
    <w:rsid w:val="00EE56DB"/>
    <w:rsid w:val="00EE68DE"/>
    <w:rsid w:val="00EE6ABC"/>
    <w:rsid w:val="00EE6AF8"/>
    <w:rsid w:val="00EE73D1"/>
    <w:rsid w:val="00EE748F"/>
    <w:rsid w:val="00EE74B6"/>
    <w:rsid w:val="00EE7B66"/>
    <w:rsid w:val="00EE7EE7"/>
    <w:rsid w:val="00EE7F20"/>
    <w:rsid w:val="00EF0050"/>
    <w:rsid w:val="00EF0179"/>
    <w:rsid w:val="00EF1F31"/>
    <w:rsid w:val="00EF28E5"/>
    <w:rsid w:val="00EF2B10"/>
    <w:rsid w:val="00EF350C"/>
    <w:rsid w:val="00EF5E28"/>
    <w:rsid w:val="00EF5E84"/>
    <w:rsid w:val="00EF61B6"/>
    <w:rsid w:val="00EF6328"/>
    <w:rsid w:val="00EF6347"/>
    <w:rsid w:val="00EF763D"/>
    <w:rsid w:val="00EF7C05"/>
    <w:rsid w:val="00EF7C6A"/>
    <w:rsid w:val="00F004F2"/>
    <w:rsid w:val="00F00EDA"/>
    <w:rsid w:val="00F0147A"/>
    <w:rsid w:val="00F01EAD"/>
    <w:rsid w:val="00F02657"/>
    <w:rsid w:val="00F02686"/>
    <w:rsid w:val="00F026EE"/>
    <w:rsid w:val="00F03744"/>
    <w:rsid w:val="00F04070"/>
    <w:rsid w:val="00F04248"/>
    <w:rsid w:val="00F04E2D"/>
    <w:rsid w:val="00F050C0"/>
    <w:rsid w:val="00F060B5"/>
    <w:rsid w:val="00F073F3"/>
    <w:rsid w:val="00F07420"/>
    <w:rsid w:val="00F0765D"/>
    <w:rsid w:val="00F07A62"/>
    <w:rsid w:val="00F07EA6"/>
    <w:rsid w:val="00F1005D"/>
    <w:rsid w:val="00F11754"/>
    <w:rsid w:val="00F11FBD"/>
    <w:rsid w:val="00F123D9"/>
    <w:rsid w:val="00F12743"/>
    <w:rsid w:val="00F13291"/>
    <w:rsid w:val="00F137EE"/>
    <w:rsid w:val="00F14D0C"/>
    <w:rsid w:val="00F14D89"/>
    <w:rsid w:val="00F16580"/>
    <w:rsid w:val="00F1688B"/>
    <w:rsid w:val="00F170AC"/>
    <w:rsid w:val="00F178CD"/>
    <w:rsid w:val="00F17F40"/>
    <w:rsid w:val="00F2025B"/>
    <w:rsid w:val="00F20284"/>
    <w:rsid w:val="00F204FF"/>
    <w:rsid w:val="00F20539"/>
    <w:rsid w:val="00F212E0"/>
    <w:rsid w:val="00F21620"/>
    <w:rsid w:val="00F22883"/>
    <w:rsid w:val="00F232A0"/>
    <w:rsid w:val="00F23578"/>
    <w:rsid w:val="00F2406D"/>
    <w:rsid w:val="00F2411E"/>
    <w:rsid w:val="00F270EF"/>
    <w:rsid w:val="00F27AFA"/>
    <w:rsid w:val="00F301EF"/>
    <w:rsid w:val="00F30399"/>
    <w:rsid w:val="00F31456"/>
    <w:rsid w:val="00F31554"/>
    <w:rsid w:val="00F3265B"/>
    <w:rsid w:val="00F333AA"/>
    <w:rsid w:val="00F33957"/>
    <w:rsid w:val="00F33B68"/>
    <w:rsid w:val="00F348EE"/>
    <w:rsid w:val="00F34ABC"/>
    <w:rsid w:val="00F363B5"/>
    <w:rsid w:val="00F40C54"/>
    <w:rsid w:val="00F40FF9"/>
    <w:rsid w:val="00F419CF"/>
    <w:rsid w:val="00F41E57"/>
    <w:rsid w:val="00F421DE"/>
    <w:rsid w:val="00F42596"/>
    <w:rsid w:val="00F42B9B"/>
    <w:rsid w:val="00F43137"/>
    <w:rsid w:val="00F43421"/>
    <w:rsid w:val="00F43DA6"/>
    <w:rsid w:val="00F43DB5"/>
    <w:rsid w:val="00F44A11"/>
    <w:rsid w:val="00F44A59"/>
    <w:rsid w:val="00F4552B"/>
    <w:rsid w:val="00F45F3E"/>
    <w:rsid w:val="00F46C4B"/>
    <w:rsid w:val="00F472B4"/>
    <w:rsid w:val="00F4731E"/>
    <w:rsid w:val="00F473A7"/>
    <w:rsid w:val="00F50713"/>
    <w:rsid w:val="00F50A91"/>
    <w:rsid w:val="00F50F78"/>
    <w:rsid w:val="00F51F2B"/>
    <w:rsid w:val="00F5247B"/>
    <w:rsid w:val="00F53C6E"/>
    <w:rsid w:val="00F568B6"/>
    <w:rsid w:val="00F5751A"/>
    <w:rsid w:val="00F57FE0"/>
    <w:rsid w:val="00F60731"/>
    <w:rsid w:val="00F60887"/>
    <w:rsid w:val="00F6162E"/>
    <w:rsid w:val="00F62A61"/>
    <w:rsid w:val="00F63700"/>
    <w:rsid w:val="00F63FEF"/>
    <w:rsid w:val="00F647D4"/>
    <w:rsid w:val="00F6530E"/>
    <w:rsid w:val="00F6547C"/>
    <w:rsid w:val="00F654D3"/>
    <w:rsid w:val="00F65969"/>
    <w:rsid w:val="00F6745B"/>
    <w:rsid w:val="00F67EF6"/>
    <w:rsid w:val="00F701DF"/>
    <w:rsid w:val="00F70202"/>
    <w:rsid w:val="00F7107F"/>
    <w:rsid w:val="00F711F9"/>
    <w:rsid w:val="00F71286"/>
    <w:rsid w:val="00F716EE"/>
    <w:rsid w:val="00F71AD9"/>
    <w:rsid w:val="00F73317"/>
    <w:rsid w:val="00F7373E"/>
    <w:rsid w:val="00F739E8"/>
    <w:rsid w:val="00F743B6"/>
    <w:rsid w:val="00F74943"/>
    <w:rsid w:val="00F74A7A"/>
    <w:rsid w:val="00F74C2E"/>
    <w:rsid w:val="00F762B2"/>
    <w:rsid w:val="00F76928"/>
    <w:rsid w:val="00F77DFE"/>
    <w:rsid w:val="00F80649"/>
    <w:rsid w:val="00F80A50"/>
    <w:rsid w:val="00F8101F"/>
    <w:rsid w:val="00F813DE"/>
    <w:rsid w:val="00F821A8"/>
    <w:rsid w:val="00F82672"/>
    <w:rsid w:val="00F82E48"/>
    <w:rsid w:val="00F84048"/>
    <w:rsid w:val="00F84239"/>
    <w:rsid w:val="00F84E2E"/>
    <w:rsid w:val="00F85540"/>
    <w:rsid w:val="00F85C3F"/>
    <w:rsid w:val="00F863CF"/>
    <w:rsid w:val="00F86A86"/>
    <w:rsid w:val="00F8700E"/>
    <w:rsid w:val="00F87AB8"/>
    <w:rsid w:val="00F87B0F"/>
    <w:rsid w:val="00F87EDF"/>
    <w:rsid w:val="00F87FEA"/>
    <w:rsid w:val="00F90289"/>
    <w:rsid w:val="00F918D7"/>
    <w:rsid w:val="00F91A9E"/>
    <w:rsid w:val="00F91E47"/>
    <w:rsid w:val="00F923EC"/>
    <w:rsid w:val="00F928A3"/>
    <w:rsid w:val="00F93482"/>
    <w:rsid w:val="00F93BCB"/>
    <w:rsid w:val="00F93C70"/>
    <w:rsid w:val="00F93EDA"/>
    <w:rsid w:val="00F94016"/>
    <w:rsid w:val="00F94E13"/>
    <w:rsid w:val="00F94E5A"/>
    <w:rsid w:val="00F9516C"/>
    <w:rsid w:val="00F955DF"/>
    <w:rsid w:val="00F95A6F"/>
    <w:rsid w:val="00F95BF9"/>
    <w:rsid w:val="00F95C5F"/>
    <w:rsid w:val="00F95D69"/>
    <w:rsid w:val="00F96044"/>
    <w:rsid w:val="00F9615C"/>
    <w:rsid w:val="00F962AC"/>
    <w:rsid w:val="00F97591"/>
    <w:rsid w:val="00F97877"/>
    <w:rsid w:val="00F97E92"/>
    <w:rsid w:val="00FA0614"/>
    <w:rsid w:val="00FA1A16"/>
    <w:rsid w:val="00FA1B4C"/>
    <w:rsid w:val="00FA2460"/>
    <w:rsid w:val="00FA2F0F"/>
    <w:rsid w:val="00FA31F9"/>
    <w:rsid w:val="00FA3BE6"/>
    <w:rsid w:val="00FA3F9E"/>
    <w:rsid w:val="00FA4E50"/>
    <w:rsid w:val="00FA5746"/>
    <w:rsid w:val="00FA5DCD"/>
    <w:rsid w:val="00FA5E4C"/>
    <w:rsid w:val="00FA6A95"/>
    <w:rsid w:val="00FA700E"/>
    <w:rsid w:val="00FA7A6D"/>
    <w:rsid w:val="00FA7F89"/>
    <w:rsid w:val="00FB050C"/>
    <w:rsid w:val="00FB0A7E"/>
    <w:rsid w:val="00FB0AAF"/>
    <w:rsid w:val="00FB11F6"/>
    <w:rsid w:val="00FB1BE4"/>
    <w:rsid w:val="00FB2415"/>
    <w:rsid w:val="00FB2D0F"/>
    <w:rsid w:val="00FB3D74"/>
    <w:rsid w:val="00FB3E84"/>
    <w:rsid w:val="00FB4391"/>
    <w:rsid w:val="00FB448A"/>
    <w:rsid w:val="00FB66E0"/>
    <w:rsid w:val="00FB6EC6"/>
    <w:rsid w:val="00FB72CB"/>
    <w:rsid w:val="00FB78C8"/>
    <w:rsid w:val="00FC0220"/>
    <w:rsid w:val="00FC0B57"/>
    <w:rsid w:val="00FC0F8F"/>
    <w:rsid w:val="00FC10C2"/>
    <w:rsid w:val="00FC2480"/>
    <w:rsid w:val="00FC28A8"/>
    <w:rsid w:val="00FC28CE"/>
    <w:rsid w:val="00FC363D"/>
    <w:rsid w:val="00FC39E2"/>
    <w:rsid w:val="00FC4323"/>
    <w:rsid w:val="00FC45B2"/>
    <w:rsid w:val="00FC45CA"/>
    <w:rsid w:val="00FC498E"/>
    <w:rsid w:val="00FC4C7D"/>
    <w:rsid w:val="00FC4FD4"/>
    <w:rsid w:val="00FC4FE6"/>
    <w:rsid w:val="00FC51E0"/>
    <w:rsid w:val="00FC5B9D"/>
    <w:rsid w:val="00FC7A07"/>
    <w:rsid w:val="00FC7A21"/>
    <w:rsid w:val="00FC7F9E"/>
    <w:rsid w:val="00FD15E3"/>
    <w:rsid w:val="00FD162D"/>
    <w:rsid w:val="00FD1636"/>
    <w:rsid w:val="00FD26C3"/>
    <w:rsid w:val="00FD2778"/>
    <w:rsid w:val="00FD302D"/>
    <w:rsid w:val="00FD3058"/>
    <w:rsid w:val="00FD352F"/>
    <w:rsid w:val="00FD381F"/>
    <w:rsid w:val="00FD3B26"/>
    <w:rsid w:val="00FD3CDB"/>
    <w:rsid w:val="00FD4744"/>
    <w:rsid w:val="00FD4D3F"/>
    <w:rsid w:val="00FD5908"/>
    <w:rsid w:val="00FD62A2"/>
    <w:rsid w:val="00FD66C9"/>
    <w:rsid w:val="00FD6AC5"/>
    <w:rsid w:val="00FD7C25"/>
    <w:rsid w:val="00FE0115"/>
    <w:rsid w:val="00FE023E"/>
    <w:rsid w:val="00FE0967"/>
    <w:rsid w:val="00FE1770"/>
    <w:rsid w:val="00FE191C"/>
    <w:rsid w:val="00FE221F"/>
    <w:rsid w:val="00FE2743"/>
    <w:rsid w:val="00FE2BF6"/>
    <w:rsid w:val="00FE2CC6"/>
    <w:rsid w:val="00FE305F"/>
    <w:rsid w:val="00FE3218"/>
    <w:rsid w:val="00FE3CB2"/>
    <w:rsid w:val="00FE4932"/>
    <w:rsid w:val="00FE55A3"/>
    <w:rsid w:val="00FE5874"/>
    <w:rsid w:val="00FE5910"/>
    <w:rsid w:val="00FE5E82"/>
    <w:rsid w:val="00FE6A0A"/>
    <w:rsid w:val="00FE7351"/>
    <w:rsid w:val="00FE7658"/>
    <w:rsid w:val="00FE7F59"/>
    <w:rsid w:val="00FE7FBD"/>
    <w:rsid w:val="00FF168A"/>
    <w:rsid w:val="00FF16DF"/>
    <w:rsid w:val="00FF1741"/>
    <w:rsid w:val="00FF189B"/>
    <w:rsid w:val="00FF1FF1"/>
    <w:rsid w:val="00FF2AB3"/>
    <w:rsid w:val="00FF2B3A"/>
    <w:rsid w:val="00FF31B1"/>
    <w:rsid w:val="00FF3214"/>
    <w:rsid w:val="00FF4004"/>
    <w:rsid w:val="00FF48AD"/>
    <w:rsid w:val="00FF4936"/>
    <w:rsid w:val="00FF5485"/>
    <w:rsid w:val="00FF73B6"/>
    <w:rsid w:val="00FF77E3"/>
    <w:rsid w:val="00FF7AF0"/>
    <w:rsid w:val="00FF7B36"/>
    <w:rsid w:val="010E6D3B"/>
    <w:rsid w:val="011D2710"/>
    <w:rsid w:val="014A7C57"/>
    <w:rsid w:val="014F219D"/>
    <w:rsid w:val="015A7F2D"/>
    <w:rsid w:val="01D04B3D"/>
    <w:rsid w:val="01DB2E0E"/>
    <w:rsid w:val="01EA04CA"/>
    <w:rsid w:val="01FF4D18"/>
    <w:rsid w:val="02025461"/>
    <w:rsid w:val="02315CA0"/>
    <w:rsid w:val="02315D47"/>
    <w:rsid w:val="02361C06"/>
    <w:rsid w:val="028279E3"/>
    <w:rsid w:val="02AD7EC1"/>
    <w:rsid w:val="02CA2696"/>
    <w:rsid w:val="03303F2A"/>
    <w:rsid w:val="033E1246"/>
    <w:rsid w:val="036D7252"/>
    <w:rsid w:val="037E65F5"/>
    <w:rsid w:val="03915B2F"/>
    <w:rsid w:val="03936A9A"/>
    <w:rsid w:val="03B44E81"/>
    <w:rsid w:val="03EF4FB6"/>
    <w:rsid w:val="03F6799F"/>
    <w:rsid w:val="0414582E"/>
    <w:rsid w:val="04272627"/>
    <w:rsid w:val="04277CBD"/>
    <w:rsid w:val="044C330C"/>
    <w:rsid w:val="04695C6C"/>
    <w:rsid w:val="04915947"/>
    <w:rsid w:val="04A57852"/>
    <w:rsid w:val="04AF17FA"/>
    <w:rsid w:val="04BD2755"/>
    <w:rsid w:val="04DB4041"/>
    <w:rsid w:val="04E83035"/>
    <w:rsid w:val="04EA1C85"/>
    <w:rsid w:val="04F96FF0"/>
    <w:rsid w:val="053C6EDC"/>
    <w:rsid w:val="05445D91"/>
    <w:rsid w:val="05497666"/>
    <w:rsid w:val="05573D16"/>
    <w:rsid w:val="055A7363"/>
    <w:rsid w:val="0571148D"/>
    <w:rsid w:val="058A5E9A"/>
    <w:rsid w:val="05A54992"/>
    <w:rsid w:val="05CB200E"/>
    <w:rsid w:val="05D31BA3"/>
    <w:rsid w:val="05DE60F3"/>
    <w:rsid w:val="05EA6938"/>
    <w:rsid w:val="062A15C1"/>
    <w:rsid w:val="06532730"/>
    <w:rsid w:val="065E2E82"/>
    <w:rsid w:val="06626E2D"/>
    <w:rsid w:val="06657D8C"/>
    <w:rsid w:val="06747D87"/>
    <w:rsid w:val="068653D5"/>
    <w:rsid w:val="068A12C2"/>
    <w:rsid w:val="06D550B2"/>
    <w:rsid w:val="06E27CD9"/>
    <w:rsid w:val="06F16C00"/>
    <w:rsid w:val="06F840BA"/>
    <w:rsid w:val="06F850F2"/>
    <w:rsid w:val="07035F04"/>
    <w:rsid w:val="071D659A"/>
    <w:rsid w:val="072A7934"/>
    <w:rsid w:val="074958E1"/>
    <w:rsid w:val="07670DFE"/>
    <w:rsid w:val="07837045"/>
    <w:rsid w:val="078D3A39"/>
    <w:rsid w:val="07922158"/>
    <w:rsid w:val="07DB478B"/>
    <w:rsid w:val="08273E74"/>
    <w:rsid w:val="084D702F"/>
    <w:rsid w:val="085B3B1D"/>
    <w:rsid w:val="08684E7C"/>
    <w:rsid w:val="0884383C"/>
    <w:rsid w:val="08907C6B"/>
    <w:rsid w:val="08AC299F"/>
    <w:rsid w:val="08AF0E7E"/>
    <w:rsid w:val="08CF558A"/>
    <w:rsid w:val="08FA50E4"/>
    <w:rsid w:val="090221EB"/>
    <w:rsid w:val="09066BCB"/>
    <w:rsid w:val="090E293E"/>
    <w:rsid w:val="092B7077"/>
    <w:rsid w:val="0930353B"/>
    <w:rsid w:val="095F1DF1"/>
    <w:rsid w:val="0983332C"/>
    <w:rsid w:val="0992356F"/>
    <w:rsid w:val="09DD475F"/>
    <w:rsid w:val="09E10820"/>
    <w:rsid w:val="0A1E0E80"/>
    <w:rsid w:val="0A232419"/>
    <w:rsid w:val="0A2F6E1D"/>
    <w:rsid w:val="0A3A3B56"/>
    <w:rsid w:val="0A486323"/>
    <w:rsid w:val="0A7C327C"/>
    <w:rsid w:val="0A817787"/>
    <w:rsid w:val="0AA76F6A"/>
    <w:rsid w:val="0ACE2BAA"/>
    <w:rsid w:val="0B016BFE"/>
    <w:rsid w:val="0B257D46"/>
    <w:rsid w:val="0B4D40BE"/>
    <w:rsid w:val="0B75193C"/>
    <w:rsid w:val="0BA86C76"/>
    <w:rsid w:val="0BC67500"/>
    <w:rsid w:val="0BE0617A"/>
    <w:rsid w:val="0BE43E2A"/>
    <w:rsid w:val="0BEB340A"/>
    <w:rsid w:val="0BEE3D40"/>
    <w:rsid w:val="0C0F6841"/>
    <w:rsid w:val="0C1B5995"/>
    <w:rsid w:val="0C236700"/>
    <w:rsid w:val="0C327E7A"/>
    <w:rsid w:val="0C3F697A"/>
    <w:rsid w:val="0C9413AC"/>
    <w:rsid w:val="0C9866C3"/>
    <w:rsid w:val="0CC27F56"/>
    <w:rsid w:val="0CEB3D51"/>
    <w:rsid w:val="0CF24B34"/>
    <w:rsid w:val="0D091D9A"/>
    <w:rsid w:val="0D12595E"/>
    <w:rsid w:val="0D153672"/>
    <w:rsid w:val="0D205C25"/>
    <w:rsid w:val="0D5B740E"/>
    <w:rsid w:val="0D65587A"/>
    <w:rsid w:val="0D6943B4"/>
    <w:rsid w:val="0DA4187D"/>
    <w:rsid w:val="0DB31367"/>
    <w:rsid w:val="0DDC056C"/>
    <w:rsid w:val="0DDC125D"/>
    <w:rsid w:val="0DDF432E"/>
    <w:rsid w:val="0E246292"/>
    <w:rsid w:val="0E2B5D40"/>
    <w:rsid w:val="0E487ABB"/>
    <w:rsid w:val="0E6B152D"/>
    <w:rsid w:val="0E85788C"/>
    <w:rsid w:val="0E8C3619"/>
    <w:rsid w:val="0E96765D"/>
    <w:rsid w:val="0EA36F2A"/>
    <w:rsid w:val="0EA578A0"/>
    <w:rsid w:val="0EA62E13"/>
    <w:rsid w:val="0EB67D00"/>
    <w:rsid w:val="0EC84782"/>
    <w:rsid w:val="0ED56BFB"/>
    <w:rsid w:val="0F025196"/>
    <w:rsid w:val="0F111A3D"/>
    <w:rsid w:val="0F1B4006"/>
    <w:rsid w:val="0F456F79"/>
    <w:rsid w:val="0F751969"/>
    <w:rsid w:val="0F847487"/>
    <w:rsid w:val="0FA81EC1"/>
    <w:rsid w:val="0FD42B11"/>
    <w:rsid w:val="0FDF32F1"/>
    <w:rsid w:val="0FE40610"/>
    <w:rsid w:val="0FEE4318"/>
    <w:rsid w:val="10007DDC"/>
    <w:rsid w:val="100827DD"/>
    <w:rsid w:val="1008458B"/>
    <w:rsid w:val="100B4360"/>
    <w:rsid w:val="10192BC7"/>
    <w:rsid w:val="10285CED"/>
    <w:rsid w:val="104834EE"/>
    <w:rsid w:val="108300B5"/>
    <w:rsid w:val="109D1177"/>
    <w:rsid w:val="10B71B0D"/>
    <w:rsid w:val="10BA4077"/>
    <w:rsid w:val="10BC7123"/>
    <w:rsid w:val="10CC55B8"/>
    <w:rsid w:val="10D61ACC"/>
    <w:rsid w:val="10F15EDF"/>
    <w:rsid w:val="10F765A5"/>
    <w:rsid w:val="110B1E88"/>
    <w:rsid w:val="110D089C"/>
    <w:rsid w:val="112242A2"/>
    <w:rsid w:val="115B3DAD"/>
    <w:rsid w:val="116369AF"/>
    <w:rsid w:val="11A10DCC"/>
    <w:rsid w:val="11A37A34"/>
    <w:rsid w:val="11A7551F"/>
    <w:rsid w:val="11EC57E6"/>
    <w:rsid w:val="11F72B09"/>
    <w:rsid w:val="12157C38"/>
    <w:rsid w:val="121E1C68"/>
    <w:rsid w:val="124036C5"/>
    <w:rsid w:val="126B2BAF"/>
    <w:rsid w:val="12E32111"/>
    <w:rsid w:val="12EA2943"/>
    <w:rsid w:val="12FA35D5"/>
    <w:rsid w:val="13023A54"/>
    <w:rsid w:val="132310B1"/>
    <w:rsid w:val="13531FC1"/>
    <w:rsid w:val="136C3EED"/>
    <w:rsid w:val="136D5CBC"/>
    <w:rsid w:val="137C225F"/>
    <w:rsid w:val="137E519D"/>
    <w:rsid w:val="13CC58CF"/>
    <w:rsid w:val="13D843CC"/>
    <w:rsid w:val="14077FE0"/>
    <w:rsid w:val="140E0A4B"/>
    <w:rsid w:val="142B1385"/>
    <w:rsid w:val="1432607A"/>
    <w:rsid w:val="144E09DA"/>
    <w:rsid w:val="14CD72DC"/>
    <w:rsid w:val="14ED1FA1"/>
    <w:rsid w:val="150A39F6"/>
    <w:rsid w:val="15657BB6"/>
    <w:rsid w:val="156D3777"/>
    <w:rsid w:val="15704562"/>
    <w:rsid w:val="15745C65"/>
    <w:rsid w:val="15F05C51"/>
    <w:rsid w:val="15F60390"/>
    <w:rsid w:val="16153CF4"/>
    <w:rsid w:val="162C63AB"/>
    <w:rsid w:val="163715C0"/>
    <w:rsid w:val="16555CD5"/>
    <w:rsid w:val="1672275E"/>
    <w:rsid w:val="167241A9"/>
    <w:rsid w:val="16832BBD"/>
    <w:rsid w:val="169F72CB"/>
    <w:rsid w:val="16A6044D"/>
    <w:rsid w:val="16A93D89"/>
    <w:rsid w:val="16BF171B"/>
    <w:rsid w:val="16DC239F"/>
    <w:rsid w:val="16ED6288"/>
    <w:rsid w:val="17097F3B"/>
    <w:rsid w:val="17285513"/>
    <w:rsid w:val="17293BB5"/>
    <w:rsid w:val="172C07B6"/>
    <w:rsid w:val="1758293B"/>
    <w:rsid w:val="177B0C5F"/>
    <w:rsid w:val="178939B5"/>
    <w:rsid w:val="17A75370"/>
    <w:rsid w:val="18133ACD"/>
    <w:rsid w:val="184A446B"/>
    <w:rsid w:val="185736BF"/>
    <w:rsid w:val="186C7EA6"/>
    <w:rsid w:val="18983245"/>
    <w:rsid w:val="189A0A44"/>
    <w:rsid w:val="18CF5440"/>
    <w:rsid w:val="18FD3599"/>
    <w:rsid w:val="191A0E8B"/>
    <w:rsid w:val="194F322A"/>
    <w:rsid w:val="196D41B8"/>
    <w:rsid w:val="19792055"/>
    <w:rsid w:val="198C1474"/>
    <w:rsid w:val="19A63F5F"/>
    <w:rsid w:val="19B74707"/>
    <w:rsid w:val="19BE6CFE"/>
    <w:rsid w:val="19CA638A"/>
    <w:rsid w:val="19F641CE"/>
    <w:rsid w:val="1A0A62AD"/>
    <w:rsid w:val="1A2320C5"/>
    <w:rsid w:val="1A2F694D"/>
    <w:rsid w:val="1A6E3857"/>
    <w:rsid w:val="1A8608FE"/>
    <w:rsid w:val="1A872550"/>
    <w:rsid w:val="1A9728D7"/>
    <w:rsid w:val="1A974E89"/>
    <w:rsid w:val="1AA17AB6"/>
    <w:rsid w:val="1AA2382E"/>
    <w:rsid w:val="1AC467A0"/>
    <w:rsid w:val="1ADA3D88"/>
    <w:rsid w:val="1AEB0D31"/>
    <w:rsid w:val="1AFA1C76"/>
    <w:rsid w:val="1AFA5418"/>
    <w:rsid w:val="1B4F7512"/>
    <w:rsid w:val="1B5F1090"/>
    <w:rsid w:val="1B8558EE"/>
    <w:rsid w:val="1BC23855"/>
    <w:rsid w:val="1BD0607B"/>
    <w:rsid w:val="1BFF185E"/>
    <w:rsid w:val="1C111FE9"/>
    <w:rsid w:val="1C173684"/>
    <w:rsid w:val="1C230E2C"/>
    <w:rsid w:val="1C414790"/>
    <w:rsid w:val="1C7A6B7C"/>
    <w:rsid w:val="1CA90EA4"/>
    <w:rsid w:val="1CB515F6"/>
    <w:rsid w:val="1CBA4E5F"/>
    <w:rsid w:val="1CBF4223"/>
    <w:rsid w:val="1CCA7AFE"/>
    <w:rsid w:val="1D0E253D"/>
    <w:rsid w:val="1D5E4D5B"/>
    <w:rsid w:val="1D673189"/>
    <w:rsid w:val="1D8D3444"/>
    <w:rsid w:val="1DBD6AE3"/>
    <w:rsid w:val="1DFB50D5"/>
    <w:rsid w:val="1E0B7BC2"/>
    <w:rsid w:val="1E190B30"/>
    <w:rsid w:val="1E467C0C"/>
    <w:rsid w:val="1E685343"/>
    <w:rsid w:val="1E6A4663"/>
    <w:rsid w:val="1E7A2AF8"/>
    <w:rsid w:val="1EAB018D"/>
    <w:rsid w:val="1EBA1E84"/>
    <w:rsid w:val="1EC06E6E"/>
    <w:rsid w:val="1ED37B6E"/>
    <w:rsid w:val="1ED63AA6"/>
    <w:rsid w:val="1ED86DF3"/>
    <w:rsid w:val="1EFD3B65"/>
    <w:rsid w:val="1F2D307E"/>
    <w:rsid w:val="1F58270D"/>
    <w:rsid w:val="1F8E612F"/>
    <w:rsid w:val="1FAD6828"/>
    <w:rsid w:val="1FB149FD"/>
    <w:rsid w:val="1FC07418"/>
    <w:rsid w:val="1FC42F0B"/>
    <w:rsid w:val="1FFE6C9E"/>
    <w:rsid w:val="20101BD5"/>
    <w:rsid w:val="202D1F21"/>
    <w:rsid w:val="204607B7"/>
    <w:rsid w:val="206425C2"/>
    <w:rsid w:val="207D7F1A"/>
    <w:rsid w:val="209B0A84"/>
    <w:rsid w:val="20C906A6"/>
    <w:rsid w:val="20DF30E6"/>
    <w:rsid w:val="211B3CCD"/>
    <w:rsid w:val="215D400B"/>
    <w:rsid w:val="217608C5"/>
    <w:rsid w:val="21A02F7B"/>
    <w:rsid w:val="21A133DE"/>
    <w:rsid w:val="21BD6D71"/>
    <w:rsid w:val="22056B7C"/>
    <w:rsid w:val="220A23E4"/>
    <w:rsid w:val="22204A75"/>
    <w:rsid w:val="22207E30"/>
    <w:rsid w:val="2263692C"/>
    <w:rsid w:val="2275519A"/>
    <w:rsid w:val="227836BA"/>
    <w:rsid w:val="227B0BEC"/>
    <w:rsid w:val="2289216A"/>
    <w:rsid w:val="229C61F3"/>
    <w:rsid w:val="22B934C3"/>
    <w:rsid w:val="22E723AB"/>
    <w:rsid w:val="230A3855"/>
    <w:rsid w:val="23272B22"/>
    <w:rsid w:val="232F19D7"/>
    <w:rsid w:val="234E5B90"/>
    <w:rsid w:val="23506488"/>
    <w:rsid w:val="2384759E"/>
    <w:rsid w:val="23B21E12"/>
    <w:rsid w:val="23B83C9F"/>
    <w:rsid w:val="23F24EDE"/>
    <w:rsid w:val="2407216E"/>
    <w:rsid w:val="24482D50"/>
    <w:rsid w:val="245C67FB"/>
    <w:rsid w:val="246851A0"/>
    <w:rsid w:val="24701082"/>
    <w:rsid w:val="247325A3"/>
    <w:rsid w:val="24803136"/>
    <w:rsid w:val="248D1797"/>
    <w:rsid w:val="249146F7"/>
    <w:rsid w:val="24B2466D"/>
    <w:rsid w:val="24BD2F42"/>
    <w:rsid w:val="24CA68A2"/>
    <w:rsid w:val="24EB12EA"/>
    <w:rsid w:val="24FD7FDE"/>
    <w:rsid w:val="250C1FD0"/>
    <w:rsid w:val="252F3F10"/>
    <w:rsid w:val="2548151A"/>
    <w:rsid w:val="25495698"/>
    <w:rsid w:val="255676EF"/>
    <w:rsid w:val="259B711F"/>
    <w:rsid w:val="25B015E6"/>
    <w:rsid w:val="25B77900"/>
    <w:rsid w:val="25C66622"/>
    <w:rsid w:val="260929B3"/>
    <w:rsid w:val="261169FE"/>
    <w:rsid w:val="262C4E7B"/>
    <w:rsid w:val="262F1A12"/>
    <w:rsid w:val="262F241A"/>
    <w:rsid w:val="26461511"/>
    <w:rsid w:val="268564DD"/>
    <w:rsid w:val="268919E8"/>
    <w:rsid w:val="268D3391"/>
    <w:rsid w:val="2695589A"/>
    <w:rsid w:val="26CF7107"/>
    <w:rsid w:val="26DD1E76"/>
    <w:rsid w:val="26F64CE5"/>
    <w:rsid w:val="272E26D1"/>
    <w:rsid w:val="273B1A56"/>
    <w:rsid w:val="27700E00"/>
    <w:rsid w:val="27970E00"/>
    <w:rsid w:val="27A460F5"/>
    <w:rsid w:val="27B150B0"/>
    <w:rsid w:val="27D33479"/>
    <w:rsid w:val="28071125"/>
    <w:rsid w:val="285B0199"/>
    <w:rsid w:val="28BF330C"/>
    <w:rsid w:val="28C64B8B"/>
    <w:rsid w:val="2913057A"/>
    <w:rsid w:val="291E22D1"/>
    <w:rsid w:val="29244AEE"/>
    <w:rsid w:val="293501FF"/>
    <w:rsid w:val="2942161F"/>
    <w:rsid w:val="29D15596"/>
    <w:rsid w:val="29F633A4"/>
    <w:rsid w:val="2A0004E5"/>
    <w:rsid w:val="2A005E7B"/>
    <w:rsid w:val="2A0B2D8C"/>
    <w:rsid w:val="2A2D6370"/>
    <w:rsid w:val="2A351FC9"/>
    <w:rsid w:val="2A353D77"/>
    <w:rsid w:val="2A581C8A"/>
    <w:rsid w:val="2A5E2AC9"/>
    <w:rsid w:val="2A702329"/>
    <w:rsid w:val="2A7A298F"/>
    <w:rsid w:val="2A8E3487"/>
    <w:rsid w:val="2A9C202F"/>
    <w:rsid w:val="2AEE54FF"/>
    <w:rsid w:val="2AF84251"/>
    <w:rsid w:val="2B151EA3"/>
    <w:rsid w:val="2B3675C2"/>
    <w:rsid w:val="2B4E46A4"/>
    <w:rsid w:val="2B593A95"/>
    <w:rsid w:val="2B6C1A1A"/>
    <w:rsid w:val="2B703976"/>
    <w:rsid w:val="2B902C9B"/>
    <w:rsid w:val="2B954448"/>
    <w:rsid w:val="2BA10FB0"/>
    <w:rsid w:val="2BA70CA4"/>
    <w:rsid w:val="2BB773D4"/>
    <w:rsid w:val="2BCF3A68"/>
    <w:rsid w:val="2BD044C9"/>
    <w:rsid w:val="2BFA2EEF"/>
    <w:rsid w:val="2BFD6B16"/>
    <w:rsid w:val="2C624BCB"/>
    <w:rsid w:val="2C74777B"/>
    <w:rsid w:val="2C7D7C75"/>
    <w:rsid w:val="2C935745"/>
    <w:rsid w:val="2CA41638"/>
    <w:rsid w:val="2CEA5DBE"/>
    <w:rsid w:val="2D4453D3"/>
    <w:rsid w:val="2D4C1B03"/>
    <w:rsid w:val="2D6D7415"/>
    <w:rsid w:val="2D6F73C8"/>
    <w:rsid w:val="2D984D48"/>
    <w:rsid w:val="2DA668A2"/>
    <w:rsid w:val="2DA76D39"/>
    <w:rsid w:val="2DB41456"/>
    <w:rsid w:val="2DD63FC7"/>
    <w:rsid w:val="2E127534"/>
    <w:rsid w:val="2E403C64"/>
    <w:rsid w:val="2E6B1D9E"/>
    <w:rsid w:val="2E6D7F83"/>
    <w:rsid w:val="2E8250B1"/>
    <w:rsid w:val="2EA44A66"/>
    <w:rsid w:val="2EAB7223"/>
    <w:rsid w:val="2EBD3D50"/>
    <w:rsid w:val="2EC4045F"/>
    <w:rsid w:val="2EC61121"/>
    <w:rsid w:val="2ECE1070"/>
    <w:rsid w:val="2EDB70E8"/>
    <w:rsid w:val="2EF57F78"/>
    <w:rsid w:val="2F077C8B"/>
    <w:rsid w:val="2F0A3A24"/>
    <w:rsid w:val="2F2B5BD1"/>
    <w:rsid w:val="2F384455"/>
    <w:rsid w:val="2F397600"/>
    <w:rsid w:val="2F7964B4"/>
    <w:rsid w:val="2F854E58"/>
    <w:rsid w:val="2FD81F45"/>
    <w:rsid w:val="301D771B"/>
    <w:rsid w:val="304271ED"/>
    <w:rsid w:val="30F52978"/>
    <w:rsid w:val="30F535ED"/>
    <w:rsid w:val="31132A30"/>
    <w:rsid w:val="312776C5"/>
    <w:rsid w:val="31437428"/>
    <w:rsid w:val="31552A77"/>
    <w:rsid w:val="31592E62"/>
    <w:rsid w:val="31740075"/>
    <w:rsid w:val="3186135C"/>
    <w:rsid w:val="31F60C40"/>
    <w:rsid w:val="31F6175D"/>
    <w:rsid w:val="320F74C2"/>
    <w:rsid w:val="32193F7E"/>
    <w:rsid w:val="322E68DC"/>
    <w:rsid w:val="32564C46"/>
    <w:rsid w:val="327A6B99"/>
    <w:rsid w:val="32A61AD2"/>
    <w:rsid w:val="330B7B68"/>
    <w:rsid w:val="33112CCF"/>
    <w:rsid w:val="3321133C"/>
    <w:rsid w:val="332309C0"/>
    <w:rsid w:val="332E3475"/>
    <w:rsid w:val="337E22EA"/>
    <w:rsid w:val="3391031B"/>
    <w:rsid w:val="33923FE8"/>
    <w:rsid w:val="33A21350"/>
    <w:rsid w:val="33D266B8"/>
    <w:rsid w:val="33DA6EC8"/>
    <w:rsid w:val="33F40A22"/>
    <w:rsid w:val="340D7B12"/>
    <w:rsid w:val="34481D4A"/>
    <w:rsid w:val="34686C91"/>
    <w:rsid w:val="348F22D5"/>
    <w:rsid w:val="34D10E70"/>
    <w:rsid w:val="34EC468C"/>
    <w:rsid w:val="352D5A09"/>
    <w:rsid w:val="356C7D8E"/>
    <w:rsid w:val="357F67EE"/>
    <w:rsid w:val="3592450B"/>
    <w:rsid w:val="359702D2"/>
    <w:rsid w:val="36454F12"/>
    <w:rsid w:val="364705BA"/>
    <w:rsid w:val="36491084"/>
    <w:rsid w:val="36701E3F"/>
    <w:rsid w:val="36893D82"/>
    <w:rsid w:val="36994ADB"/>
    <w:rsid w:val="36B10E0E"/>
    <w:rsid w:val="36BB54E1"/>
    <w:rsid w:val="3732091F"/>
    <w:rsid w:val="37A13EFE"/>
    <w:rsid w:val="37A74543"/>
    <w:rsid w:val="37BE14FA"/>
    <w:rsid w:val="37C036A0"/>
    <w:rsid w:val="37CF1A1C"/>
    <w:rsid w:val="37D548FB"/>
    <w:rsid w:val="37DB5AF9"/>
    <w:rsid w:val="37FB6A05"/>
    <w:rsid w:val="38080D1C"/>
    <w:rsid w:val="383D33C7"/>
    <w:rsid w:val="38696F51"/>
    <w:rsid w:val="38856E18"/>
    <w:rsid w:val="388F541E"/>
    <w:rsid w:val="38B67B31"/>
    <w:rsid w:val="38DD3F57"/>
    <w:rsid w:val="38DD7AB3"/>
    <w:rsid w:val="38F1355F"/>
    <w:rsid w:val="390D251C"/>
    <w:rsid w:val="390F6E44"/>
    <w:rsid w:val="39361554"/>
    <w:rsid w:val="39486648"/>
    <w:rsid w:val="3961359F"/>
    <w:rsid w:val="397E0F4C"/>
    <w:rsid w:val="39953421"/>
    <w:rsid w:val="39A14F85"/>
    <w:rsid w:val="3A116D63"/>
    <w:rsid w:val="3A3951BD"/>
    <w:rsid w:val="3A4A73CA"/>
    <w:rsid w:val="3A4E2315"/>
    <w:rsid w:val="3A601A2D"/>
    <w:rsid w:val="3A633EFE"/>
    <w:rsid w:val="3A66142C"/>
    <w:rsid w:val="3A9F208C"/>
    <w:rsid w:val="3AB502B9"/>
    <w:rsid w:val="3AC56294"/>
    <w:rsid w:val="3AD936F8"/>
    <w:rsid w:val="3AEB2E61"/>
    <w:rsid w:val="3AF235BE"/>
    <w:rsid w:val="3B0E19E0"/>
    <w:rsid w:val="3B573D09"/>
    <w:rsid w:val="3B802775"/>
    <w:rsid w:val="3B88345B"/>
    <w:rsid w:val="3BA64AD4"/>
    <w:rsid w:val="3BAA159A"/>
    <w:rsid w:val="3BB23479"/>
    <w:rsid w:val="3BBC597A"/>
    <w:rsid w:val="3BDF3482"/>
    <w:rsid w:val="3BF515B8"/>
    <w:rsid w:val="3C4A2D55"/>
    <w:rsid w:val="3C514CAB"/>
    <w:rsid w:val="3CA97EC6"/>
    <w:rsid w:val="3D040881"/>
    <w:rsid w:val="3D080E1D"/>
    <w:rsid w:val="3D116D92"/>
    <w:rsid w:val="3D6267D9"/>
    <w:rsid w:val="3D7B3D3F"/>
    <w:rsid w:val="3DAC214A"/>
    <w:rsid w:val="3DAE08D0"/>
    <w:rsid w:val="3DB944D0"/>
    <w:rsid w:val="3DDD0555"/>
    <w:rsid w:val="3DDF370F"/>
    <w:rsid w:val="3DE3759B"/>
    <w:rsid w:val="3DE713D4"/>
    <w:rsid w:val="3DE937C7"/>
    <w:rsid w:val="3E0713D5"/>
    <w:rsid w:val="3E243E99"/>
    <w:rsid w:val="3E3321C4"/>
    <w:rsid w:val="3E353C1D"/>
    <w:rsid w:val="3E4D49D4"/>
    <w:rsid w:val="3E6B790F"/>
    <w:rsid w:val="3E894239"/>
    <w:rsid w:val="3E93567D"/>
    <w:rsid w:val="3EB07A18"/>
    <w:rsid w:val="3EC11C25"/>
    <w:rsid w:val="3ECA5EB0"/>
    <w:rsid w:val="3ECC22FA"/>
    <w:rsid w:val="3EFF5D5F"/>
    <w:rsid w:val="3F045291"/>
    <w:rsid w:val="3F177A97"/>
    <w:rsid w:val="3F1915F3"/>
    <w:rsid w:val="3F624FCD"/>
    <w:rsid w:val="3F715648"/>
    <w:rsid w:val="3FCF152F"/>
    <w:rsid w:val="3FD85C86"/>
    <w:rsid w:val="3FF60466"/>
    <w:rsid w:val="4004281E"/>
    <w:rsid w:val="40321FEF"/>
    <w:rsid w:val="40706EDC"/>
    <w:rsid w:val="40BE1F6C"/>
    <w:rsid w:val="41015FB9"/>
    <w:rsid w:val="410A340F"/>
    <w:rsid w:val="410B3BDF"/>
    <w:rsid w:val="412F50DD"/>
    <w:rsid w:val="415C2E07"/>
    <w:rsid w:val="41B521B1"/>
    <w:rsid w:val="41C61861"/>
    <w:rsid w:val="41E813D9"/>
    <w:rsid w:val="41F540C0"/>
    <w:rsid w:val="41FA47F3"/>
    <w:rsid w:val="4212450C"/>
    <w:rsid w:val="421637AE"/>
    <w:rsid w:val="422C29AF"/>
    <w:rsid w:val="424D3EFC"/>
    <w:rsid w:val="427B4CA3"/>
    <w:rsid w:val="427B7839"/>
    <w:rsid w:val="42982C9D"/>
    <w:rsid w:val="42A67B0A"/>
    <w:rsid w:val="42B63434"/>
    <w:rsid w:val="42BC292E"/>
    <w:rsid w:val="42D528DA"/>
    <w:rsid w:val="42DA1507"/>
    <w:rsid w:val="430D0117"/>
    <w:rsid w:val="43387689"/>
    <w:rsid w:val="435D6DD6"/>
    <w:rsid w:val="436C3281"/>
    <w:rsid w:val="43850D98"/>
    <w:rsid w:val="43920647"/>
    <w:rsid w:val="444B32AC"/>
    <w:rsid w:val="445D70EB"/>
    <w:rsid w:val="446E7034"/>
    <w:rsid w:val="44737E15"/>
    <w:rsid w:val="4488171E"/>
    <w:rsid w:val="4499456E"/>
    <w:rsid w:val="44B5690C"/>
    <w:rsid w:val="44C15265"/>
    <w:rsid w:val="44F05189"/>
    <w:rsid w:val="452345A6"/>
    <w:rsid w:val="452A1653"/>
    <w:rsid w:val="452A1AEE"/>
    <w:rsid w:val="452C2BFC"/>
    <w:rsid w:val="4552496F"/>
    <w:rsid w:val="457052B2"/>
    <w:rsid w:val="45845F4C"/>
    <w:rsid w:val="459040FF"/>
    <w:rsid w:val="45941E41"/>
    <w:rsid w:val="45C1250B"/>
    <w:rsid w:val="45C8751B"/>
    <w:rsid w:val="45EA5FB3"/>
    <w:rsid w:val="460422BD"/>
    <w:rsid w:val="460C5E7C"/>
    <w:rsid w:val="462431C5"/>
    <w:rsid w:val="463E3F42"/>
    <w:rsid w:val="46480997"/>
    <w:rsid w:val="4665733A"/>
    <w:rsid w:val="4669507C"/>
    <w:rsid w:val="46A169D1"/>
    <w:rsid w:val="46AE245F"/>
    <w:rsid w:val="46BC6165"/>
    <w:rsid w:val="46E03910"/>
    <w:rsid w:val="46E12A83"/>
    <w:rsid w:val="46F00764"/>
    <w:rsid w:val="47186BA8"/>
    <w:rsid w:val="4724670E"/>
    <w:rsid w:val="472B2331"/>
    <w:rsid w:val="47307948"/>
    <w:rsid w:val="473311D8"/>
    <w:rsid w:val="47742529"/>
    <w:rsid w:val="47963F38"/>
    <w:rsid w:val="4797283C"/>
    <w:rsid w:val="47A357BC"/>
    <w:rsid w:val="47A81BD4"/>
    <w:rsid w:val="47EA630C"/>
    <w:rsid w:val="47F4158C"/>
    <w:rsid w:val="482F5E51"/>
    <w:rsid w:val="485239C6"/>
    <w:rsid w:val="48524506"/>
    <w:rsid w:val="486A0C38"/>
    <w:rsid w:val="487171B8"/>
    <w:rsid w:val="487268DF"/>
    <w:rsid w:val="489857A5"/>
    <w:rsid w:val="489C38B5"/>
    <w:rsid w:val="48A04659"/>
    <w:rsid w:val="48B83CE5"/>
    <w:rsid w:val="4900334A"/>
    <w:rsid w:val="49042AD4"/>
    <w:rsid w:val="493B5F6F"/>
    <w:rsid w:val="493F0316"/>
    <w:rsid w:val="49433AC2"/>
    <w:rsid w:val="497C6E74"/>
    <w:rsid w:val="49D96075"/>
    <w:rsid w:val="49ED1287"/>
    <w:rsid w:val="49F801D0"/>
    <w:rsid w:val="4A2032F8"/>
    <w:rsid w:val="4A2117CA"/>
    <w:rsid w:val="4A3B0ADD"/>
    <w:rsid w:val="4A5F4665"/>
    <w:rsid w:val="4A8D0DD3"/>
    <w:rsid w:val="4ADA02F6"/>
    <w:rsid w:val="4B0A0F09"/>
    <w:rsid w:val="4B100E76"/>
    <w:rsid w:val="4B24104E"/>
    <w:rsid w:val="4B282C94"/>
    <w:rsid w:val="4B296B88"/>
    <w:rsid w:val="4B6017E5"/>
    <w:rsid w:val="4B68076F"/>
    <w:rsid w:val="4B774FCB"/>
    <w:rsid w:val="4BC62629"/>
    <w:rsid w:val="4BE3142D"/>
    <w:rsid w:val="4BE92D75"/>
    <w:rsid w:val="4C0575F5"/>
    <w:rsid w:val="4C0B6934"/>
    <w:rsid w:val="4C0D64AA"/>
    <w:rsid w:val="4C2A666F"/>
    <w:rsid w:val="4C373527"/>
    <w:rsid w:val="4C3C3EFE"/>
    <w:rsid w:val="4C56556E"/>
    <w:rsid w:val="4C7E4CB1"/>
    <w:rsid w:val="4CBE1552"/>
    <w:rsid w:val="4CEF395A"/>
    <w:rsid w:val="4D0A0EF1"/>
    <w:rsid w:val="4D241CFD"/>
    <w:rsid w:val="4D2E7EC6"/>
    <w:rsid w:val="4D550108"/>
    <w:rsid w:val="4D8C72A0"/>
    <w:rsid w:val="4DC6493B"/>
    <w:rsid w:val="4DD847FE"/>
    <w:rsid w:val="4E2825D1"/>
    <w:rsid w:val="4E3F4BEF"/>
    <w:rsid w:val="4E5B5992"/>
    <w:rsid w:val="4E911A89"/>
    <w:rsid w:val="4ECA141D"/>
    <w:rsid w:val="4ED27537"/>
    <w:rsid w:val="4EE908F3"/>
    <w:rsid w:val="4F0A0A7E"/>
    <w:rsid w:val="4F460A77"/>
    <w:rsid w:val="4F4E4EE9"/>
    <w:rsid w:val="4F8A62B3"/>
    <w:rsid w:val="4FCB2904"/>
    <w:rsid w:val="4FD56436"/>
    <w:rsid w:val="4FED4628"/>
    <w:rsid w:val="500654BC"/>
    <w:rsid w:val="502D711A"/>
    <w:rsid w:val="503F2986"/>
    <w:rsid w:val="50544178"/>
    <w:rsid w:val="50854860"/>
    <w:rsid w:val="50915027"/>
    <w:rsid w:val="50976241"/>
    <w:rsid w:val="509F7223"/>
    <w:rsid w:val="50A97291"/>
    <w:rsid w:val="50D61560"/>
    <w:rsid w:val="50FB0FC7"/>
    <w:rsid w:val="51061CFE"/>
    <w:rsid w:val="51167616"/>
    <w:rsid w:val="51322E5D"/>
    <w:rsid w:val="518459A1"/>
    <w:rsid w:val="519139A5"/>
    <w:rsid w:val="519B6306"/>
    <w:rsid w:val="5215583D"/>
    <w:rsid w:val="5224238C"/>
    <w:rsid w:val="523F0FEB"/>
    <w:rsid w:val="52500E9E"/>
    <w:rsid w:val="525E35BB"/>
    <w:rsid w:val="52651A9A"/>
    <w:rsid w:val="529C30BF"/>
    <w:rsid w:val="52A02067"/>
    <w:rsid w:val="52A44405"/>
    <w:rsid w:val="52C779F0"/>
    <w:rsid w:val="52CF270B"/>
    <w:rsid w:val="530509E3"/>
    <w:rsid w:val="531911A9"/>
    <w:rsid w:val="5350423D"/>
    <w:rsid w:val="53533D66"/>
    <w:rsid w:val="536F3AB3"/>
    <w:rsid w:val="53734A39"/>
    <w:rsid w:val="5373753A"/>
    <w:rsid w:val="53842339"/>
    <w:rsid w:val="53C02053"/>
    <w:rsid w:val="53EF7110"/>
    <w:rsid w:val="53FB0B46"/>
    <w:rsid w:val="5440557B"/>
    <w:rsid w:val="544D38E7"/>
    <w:rsid w:val="545F00DC"/>
    <w:rsid w:val="54622601"/>
    <w:rsid w:val="546433BF"/>
    <w:rsid w:val="546D21DB"/>
    <w:rsid w:val="546F7B01"/>
    <w:rsid w:val="547E1787"/>
    <w:rsid w:val="547E6196"/>
    <w:rsid w:val="548B2F99"/>
    <w:rsid w:val="548B440F"/>
    <w:rsid w:val="54CC0E05"/>
    <w:rsid w:val="551E5284"/>
    <w:rsid w:val="557238F3"/>
    <w:rsid w:val="55D87B28"/>
    <w:rsid w:val="55E77B94"/>
    <w:rsid w:val="55F12136"/>
    <w:rsid w:val="56177F93"/>
    <w:rsid w:val="563A5ADF"/>
    <w:rsid w:val="56721153"/>
    <w:rsid w:val="567535C9"/>
    <w:rsid w:val="567A5E1E"/>
    <w:rsid w:val="56B116AB"/>
    <w:rsid w:val="56BF0996"/>
    <w:rsid w:val="56D455F1"/>
    <w:rsid w:val="56E22F37"/>
    <w:rsid w:val="56EE2595"/>
    <w:rsid w:val="56F02B64"/>
    <w:rsid w:val="56F05B65"/>
    <w:rsid w:val="56F269C8"/>
    <w:rsid w:val="56FE0895"/>
    <w:rsid w:val="57234DD3"/>
    <w:rsid w:val="572E2253"/>
    <w:rsid w:val="57364B06"/>
    <w:rsid w:val="57582392"/>
    <w:rsid w:val="576347FD"/>
    <w:rsid w:val="577618B4"/>
    <w:rsid w:val="5793283F"/>
    <w:rsid w:val="579A6DD8"/>
    <w:rsid w:val="57A11F02"/>
    <w:rsid w:val="57A4664F"/>
    <w:rsid w:val="57A877DE"/>
    <w:rsid w:val="57B0377C"/>
    <w:rsid w:val="57C17874"/>
    <w:rsid w:val="57EA43BC"/>
    <w:rsid w:val="57EF4CB5"/>
    <w:rsid w:val="57FB5D50"/>
    <w:rsid w:val="5879038D"/>
    <w:rsid w:val="58866E9B"/>
    <w:rsid w:val="58977827"/>
    <w:rsid w:val="58CF436A"/>
    <w:rsid w:val="58D968EA"/>
    <w:rsid w:val="59445C8D"/>
    <w:rsid w:val="596E16DB"/>
    <w:rsid w:val="59747253"/>
    <w:rsid w:val="5975754A"/>
    <w:rsid w:val="59820767"/>
    <w:rsid w:val="59D440D5"/>
    <w:rsid w:val="59F14D15"/>
    <w:rsid w:val="59FB6D8E"/>
    <w:rsid w:val="59FD7B5D"/>
    <w:rsid w:val="5A0F7891"/>
    <w:rsid w:val="5A1645A3"/>
    <w:rsid w:val="5A3B0686"/>
    <w:rsid w:val="5A3C0D84"/>
    <w:rsid w:val="5A571EEC"/>
    <w:rsid w:val="5A6C083F"/>
    <w:rsid w:val="5A7416A3"/>
    <w:rsid w:val="5A757D24"/>
    <w:rsid w:val="5A763A35"/>
    <w:rsid w:val="5A81787E"/>
    <w:rsid w:val="5ACE63A1"/>
    <w:rsid w:val="5AE1122D"/>
    <w:rsid w:val="5B2306EF"/>
    <w:rsid w:val="5B250FFE"/>
    <w:rsid w:val="5B2570CA"/>
    <w:rsid w:val="5B527A35"/>
    <w:rsid w:val="5B5773E8"/>
    <w:rsid w:val="5B6B4F9B"/>
    <w:rsid w:val="5B6D2AC1"/>
    <w:rsid w:val="5B7420A1"/>
    <w:rsid w:val="5B991686"/>
    <w:rsid w:val="5BDE05F0"/>
    <w:rsid w:val="5C052A1B"/>
    <w:rsid w:val="5C396F7D"/>
    <w:rsid w:val="5C427AAA"/>
    <w:rsid w:val="5C7C1989"/>
    <w:rsid w:val="5C8D2377"/>
    <w:rsid w:val="5C8F039F"/>
    <w:rsid w:val="5C9A78E6"/>
    <w:rsid w:val="5C9F1F05"/>
    <w:rsid w:val="5CA752B2"/>
    <w:rsid w:val="5CAE15E3"/>
    <w:rsid w:val="5CC223FD"/>
    <w:rsid w:val="5CEB2603"/>
    <w:rsid w:val="5D0905C7"/>
    <w:rsid w:val="5D616655"/>
    <w:rsid w:val="5D662C0B"/>
    <w:rsid w:val="5D7512B0"/>
    <w:rsid w:val="5D8365CC"/>
    <w:rsid w:val="5D8F2E94"/>
    <w:rsid w:val="5D9471EA"/>
    <w:rsid w:val="5D971AA4"/>
    <w:rsid w:val="5DBE7604"/>
    <w:rsid w:val="5DC64FC7"/>
    <w:rsid w:val="5DC87586"/>
    <w:rsid w:val="5DCB6CDF"/>
    <w:rsid w:val="5DD21301"/>
    <w:rsid w:val="5DDB1B34"/>
    <w:rsid w:val="5DE80B25"/>
    <w:rsid w:val="5DE828D3"/>
    <w:rsid w:val="5DEA6DD5"/>
    <w:rsid w:val="5DEF4A8E"/>
    <w:rsid w:val="5E034949"/>
    <w:rsid w:val="5E0D3199"/>
    <w:rsid w:val="5E4D011A"/>
    <w:rsid w:val="5E744166"/>
    <w:rsid w:val="5E794C7D"/>
    <w:rsid w:val="5E906F6D"/>
    <w:rsid w:val="5E9F0AF5"/>
    <w:rsid w:val="5EB230EE"/>
    <w:rsid w:val="5EC05B97"/>
    <w:rsid w:val="5EC40C4A"/>
    <w:rsid w:val="5F0454EA"/>
    <w:rsid w:val="5F194F46"/>
    <w:rsid w:val="5F342973"/>
    <w:rsid w:val="5F4104EC"/>
    <w:rsid w:val="5F784B6A"/>
    <w:rsid w:val="5F8F5DF4"/>
    <w:rsid w:val="5F9D057C"/>
    <w:rsid w:val="5FA525EE"/>
    <w:rsid w:val="5FF83D4F"/>
    <w:rsid w:val="601B7C87"/>
    <w:rsid w:val="60487075"/>
    <w:rsid w:val="60777FDD"/>
    <w:rsid w:val="607B521D"/>
    <w:rsid w:val="60B625CF"/>
    <w:rsid w:val="60B92304"/>
    <w:rsid w:val="60C20C57"/>
    <w:rsid w:val="60C304B3"/>
    <w:rsid w:val="60C40F69"/>
    <w:rsid w:val="60E6759D"/>
    <w:rsid w:val="60F56AA8"/>
    <w:rsid w:val="6108329D"/>
    <w:rsid w:val="610C0686"/>
    <w:rsid w:val="611319A3"/>
    <w:rsid w:val="61416958"/>
    <w:rsid w:val="61671D60"/>
    <w:rsid w:val="6185018D"/>
    <w:rsid w:val="61931174"/>
    <w:rsid w:val="61C03C03"/>
    <w:rsid w:val="61F74799"/>
    <w:rsid w:val="62174948"/>
    <w:rsid w:val="62750C70"/>
    <w:rsid w:val="6291178B"/>
    <w:rsid w:val="629865DD"/>
    <w:rsid w:val="62A15862"/>
    <w:rsid w:val="62B14C8D"/>
    <w:rsid w:val="62B55612"/>
    <w:rsid w:val="62C05BCC"/>
    <w:rsid w:val="62E83B63"/>
    <w:rsid w:val="630524CC"/>
    <w:rsid w:val="631E6BE5"/>
    <w:rsid w:val="633A3AD5"/>
    <w:rsid w:val="6360787E"/>
    <w:rsid w:val="63696264"/>
    <w:rsid w:val="637C4829"/>
    <w:rsid w:val="639F6688"/>
    <w:rsid w:val="63AE4C48"/>
    <w:rsid w:val="63C80809"/>
    <w:rsid w:val="63DE135C"/>
    <w:rsid w:val="64033FC2"/>
    <w:rsid w:val="64187B18"/>
    <w:rsid w:val="64236413"/>
    <w:rsid w:val="64282DE6"/>
    <w:rsid w:val="642C1B08"/>
    <w:rsid w:val="64444394"/>
    <w:rsid w:val="64460610"/>
    <w:rsid w:val="64527B6D"/>
    <w:rsid w:val="647B624F"/>
    <w:rsid w:val="6491119F"/>
    <w:rsid w:val="64955FD7"/>
    <w:rsid w:val="649E6BD8"/>
    <w:rsid w:val="649F10A0"/>
    <w:rsid w:val="64A96F66"/>
    <w:rsid w:val="64B928D3"/>
    <w:rsid w:val="64DE1345"/>
    <w:rsid w:val="64F102BF"/>
    <w:rsid w:val="64FC5BA9"/>
    <w:rsid w:val="65404DA2"/>
    <w:rsid w:val="65444892"/>
    <w:rsid w:val="6547740B"/>
    <w:rsid w:val="654D5C64"/>
    <w:rsid w:val="65902389"/>
    <w:rsid w:val="65BD63F3"/>
    <w:rsid w:val="65D72AF6"/>
    <w:rsid w:val="65F8742B"/>
    <w:rsid w:val="66102F2E"/>
    <w:rsid w:val="661228B3"/>
    <w:rsid w:val="66364B1B"/>
    <w:rsid w:val="66480DDF"/>
    <w:rsid w:val="664F498A"/>
    <w:rsid w:val="667967BE"/>
    <w:rsid w:val="6688408B"/>
    <w:rsid w:val="668F3341"/>
    <w:rsid w:val="66AE560F"/>
    <w:rsid w:val="66BA201C"/>
    <w:rsid w:val="67065B78"/>
    <w:rsid w:val="672E1BB9"/>
    <w:rsid w:val="673B22E5"/>
    <w:rsid w:val="674466E9"/>
    <w:rsid w:val="67593538"/>
    <w:rsid w:val="676C5089"/>
    <w:rsid w:val="679B2764"/>
    <w:rsid w:val="67A27F96"/>
    <w:rsid w:val="67AE00F7"/>
    <w:rsid w:val="67E1461B"/>
    <w:rsid w:val="67E84BCC"/>
    <w:rsid w:val="67F01071"/>
    <w:rsid w:val="68040A16"/>
    <w:rsid w:val="682C222C"/>
    <w:rsid w:val="682E182A"/>
    <w:rsid w:val="68444BA9"/>
    <w:rsid w:val="68633281"/>
    <w:rsid w:val="688E493A"/>
    <w:rsid w:val="68B60031"/>
    <w:rsid w:val="68B860A6"/>
    <w:rsid w:val="68DE6DAC"/>
    <w:rsid w:val="68DF1B71"/>
    <w:rsid w:val="68DF3FEB"/>
    <w:rsid w:val="6942733B"/>
    <w:rsid w:val="6962324F"/>
    <w:rsid w:val="696E5EC9"/>
    <w:rsid w:val="697F5FDF"/>
    <w:rsid w:val="69B47B0D"/>
    <w:rsid w:val="69C935B8"/>
    <w:rsid w:val="69D55C34"/>
    <w:rsid w:val="6A002D52"/>
    <w:rsid w:val="6A0D23C2"/>
    <w:rsid w:val="6A202087"/>
    <w:rsid w:val="6A283551"/>
    <w:rsid w:val="6A3671AC"/>
    <w:rsid w:val="6A4B50C8"/>
    <w:rsid w:val="6A6B28C1"/>
    <w:rsid w:val="6A89220C"/>
    <w:rsid w:val="6A965DDC"/>
    <w:rsid w:val="6B1640BC"/>
    <w:rsid w:val="6B1B25DC"/>
    <w:rsid w:val="6B2A76A3"/>
    <w:rsid w:val="6B3D106E"/>
    <w:rsid w:val="6B561D99"/>
    <w:rsid w:val="6B596BBE"/>
    <w:rsid w:val="6B721A2E"/>
    <w:rsid w:val="6B7439F8"/>
    <w:rsid w:val="6BAA11C7"/>
    <w:rsid w:val="6BBB3253"/>
    <w:rsid w:val="6BC71D79"/>
    <w:rsid w:val="6BDE217F"/>
    <w:rsid w:val="6C066D46"/>
    <w:rsid w:val="6C0B07EE"/>
    <w:rsid w:val="6C3171FA"/>
    <w:rsid w:val="6C4048A2"/>
    <w:rsid w:val="6C904861"/>
    <w:rsid w:val="6CBB6582"/>
    <w:rsid w:val="6CC10EBE"/>
    <w:rsid w:val="6CDF30F3"/>
    <w:rsid w:val="6D400035"/>
    <w:rsid w:val="6D4000DF"/>
    <w:rsid w:val="6D5E6117"/>
    <w:rsid w:val="6D667493"/>
    <w:rsid w:val="6D986680"/>
    <w:rsid w:val="6DE44E65"/>
    <w:rsid w:val="6E02353D"/>
    <w:rsid w:val="6E322E12"/>
    <w:rsid w:val="6E3603E6"/>
    <w:rsid w:val="6E647D53"/>
    <w:rsid w:val="6E7206C2"/>
    <w:rsid w:val="6E895A0C"/>
    <w:rsid w:val="6E8E6B7E"/>
    <w:rsid w:val="6EA445F4"/>
    <w:rsid w:val="6EB363DA"/>
    <w:rsid w:val="6EDC22E4"/>
    <w:rsid w:val="6EF32E85"/>
    <w:rsid w:val="6F2C2017"/>
    <w:rsid w:val="6F48190D"/>
    <w:rsid w:val="6F572DF1"/>
    <w:rsid w:val="6F5B0727"/>
    <w:rsid w:val="6F6A1399"/>
    <w:rsid w:val="6F713D0F"/>
    <w:rsid w:val="6F7F4719"/>
    <w:rsid w:val="6FA75111"/>
    <w:rsid w:val="6FC74411"/>
    <w:rsid w:val="6FCD1928"/>
    <w:rsid w:val="700D2904"/>
    <w:rsid w:val="700E441B"/>
    <w:rsid w:val="7037515E"/>
    <w:rsid w:val="703F49C7"/>
    <w:rsid w:val="707433B6"/>
    <w:rsid w:val="70765B1C"/>
    <w:rsid w:val="707E51F4"/>
    <w:rsid w:val="70F13180"/>
    <w:rsid w:val="70F97E5D"/>
    <w:rsid w:val="710870BC"/>
    <w:rsid w:val="711E7B3E"/>
    <w:rsid w:val="71216F3E"/>
    <w:rsid w:val="712357EE"/>
    <w:rsid w:val="71245578"/>
    <w:rsid w:val="71557E27"/>
    <w:rsid w:val="715B3FDD"/>
    <w:rsid w:val="7160306C"/>
    <w:rsid w:val="716515DB"/>
    <w:rsid w:val="717E5165"/>
    <w:rsid w:val="71B572C3"/>
    <w:rsid w:val="71B71BE9"/>
    <w:rsid w:val="71D42AF0"/>
    <w:rsid w:val="71D46F9E"/>
    <w:rsid w:val="71D93CF6"/>
    <w:rsid w:val="71E13469"/>
    <w:rsid w:val="720650D2"/>
    <w:rsid w:val="724D2119"/>
    <w:rsid w:val="724D730D"/>
    <w:rsid w:val="726C7C5A"/>
    <w:rsid w:val="72BD7A32"/>
    <w:rsid w:val="72CD44CE"/>
    <w:rsid w:val="72DA58DB"/>
    <w:rsid w:val="731004AA"/>
    <w:rsid w:val="73177D95"/>
    <w:rsid w:val="734F47A8"/>
    <w:rsid w:val="7357221C"/>
    <w:rsid w:val="7375655F"/>
    <w:rsid w:val="73CF22B2"/>
    <w:rsid w:val="73D56FFD"/>
    <w:rsid w:val="741F25BF"/>
    <w:rsid w:val="7429275B"/>
    <w:rsid w:val="745F238F"/>
    <w:rsid w:val="74633BF0"/>
    <w:rsid w:val="74A40EAA"/>
    <w:rsid w:val="74A73931"/>
    <w:rsid w:val="74FD52E5"/>
    <w:rsid w:val="75173C22"/>
    <w:rsid w:val="751D6EAE"/>
    <w:rsid w:val="753005DD"/>
    <w:rsid w:val="75553B6B"/>
    <w:rsid w:val="755D4D06"/>
    <w:rsid w:val="75620101"/>
    <w:rsid w:val="7574536F"/>
    <w:rsid w:val="75805223"/>
    <w:rsid w:val="75AD178F"/>
    <w:rsid w:val="75B10C93"/>
    <w:rsid w:val="75C80561"/>
    <w:rsid w:val="75E11C8A"/>
    <w:rsid w:val="75FFD498"/>
    <w:rsid w:val="760259EA"/>
    <w:rsid w:val="76326989"/>
    <w:rsid w:val="76383E54"/>
    <w:rsid w:val="763E598B"/>
    <w:rsid w:val="7649092B"/>
    <w:rsid w:val="765A1C8C"/>
    <w:rsid w:val="767174B1"/>
    <w:rsid w:val="76726D86"/>
    <w:rsid w:val="767A41FD"/>
    <w:rsid w:val="768014A2"/>
    <w:rsid w:val="7680271B"/>
    <w:rsid w:val="769C5348"/>
    <w:rsid w:val="76BC2B8D"/>
    <w:rsid w:val="76E93444"/>
    <w:rsid w:val="771048CA"/>
    <w:rsid w:val="772E3CDB"/>
    <w:rsid w:val="77300246"/>
    <w:rsid w:val="77300C68"/>
    <w:rsid w:val="77521CC4"/>
    <w:rsid w:val="77763E54"/>
    <w:rsid w:val="77811976"/>
    <w:rsid w:val="779A6594"/>
    <w:rsid w:val="77AE3DED"/>
    <w:rsid w:val="77CC1F74"/>
    <w:rsid w:val="77D7283A"/>
    <w:rsid w:val="77D9522E"/>
    <w:rsid w:val="77F04406"/>
    <w:rsid w:val="7838136B"/>
    <w:rsid w:val="78393DA0"/>
    <w:rsid w:val="78430448"/>
    <w:rsid w:val="78513A74"/>
    <w:rsid w:val="78632E2A"/>
    <w:rsid w:val="78715547"/>
    <w:rsid w:val="78774B27"/>
    <w:rsid w:val="788E3875"/>
    <w:rsid w:val="78C64ABF"/>
    <w:rsid w:val="78CE2999"/>
    <w:rsid w:val="78D12489"/>
    <w:rsid w:val="78D6184E"/>
    <w:rsid w:val="78DC4E9B"/>
    <w:rsid w:val="78EE0E61"/>
    <w:rsid w:val="78F03B73"/>
    <w:rsid w:val="790E7A95"/>
    <w:rsid w:val="79345B56"/>
    <w:rsid w:val="793C27A7"/>
    <w:rsid w:val="79570DC2"/>
    <w:rsid w:val="795804B5"/>
    <w:rsid w:val="796E70F4"/>
    <w:rsid w:val="799E021F"/>
    <w:rsid w:val="79CE44E4"/>
    <w:rsid w:val="79EE50A9"/>
    <w:rsid w:val="79F04B91"/>
    <w:rsid w:val="79F943F8"/>
    <w:rsid w:val="7A1E525A"/>
    <w:rsid w:val="7A316D99"/>
    <w:rsid w:val="7A480529"/>
    <w:rsid w:val="7A541090"/>
    <w:rsid w:val="7A5668C3"/>
    <w:rsid w:val="7A6C5E58"/>
    <w:rsid w:val="7A9809F3"/>
    <w:rsid w:val="7B095F0A"/>
    <w:rsid w:val="7B0F1047"/>
    <w:rsid w:val="7B1520BC"/>
    <w:rsid w:val="7B1D3764"/>
    <w:rsid w:val="7B205636"/>
    <w:rsid w:val="7B3C6274"/>
    <w:rsid w:val="7B414CFC"/>
    <w:rsid w:val="7B5155A4"/>
    <w:rsid w:val="7B5A4041"/>
    <w:rsid w:val="7B683915"/>
    <w:rsid w:val="7B7B492E"/>
    <w:rsid w:val="7B917CAE"/>
    <w:rsid w:val="7B9A0B28"/>
    <w:rsid w:val="7BB816DF"/>
    <w:rsid w:val="7BD5403F"/>
    <w:rsid w:val="7C89200D"/>
    <w:rsid w:val="7CB71E37"/>
    <w:rsid w:val="7CC11569"/>
    <w:rsid w:val="7CC46124"/>
    <w:rsid w:val="7CF33DAD"/>
    <w:rsid w:val="7D050953"/>
    <w:rsid w:val="7D1032D5"/>
    <w:rsid w:val="7D136216"/>
    <w:rsid w:val="7D3E622C"/>
    <w:rsid w:val="7D543484"/>
    <w:rsid w:val="7D761851"/>
    <w:rsid w:val="7D951CD7"/>
    <w:rsid w:val="7DFC369A"/>
    <w:rsid w:val="7E325390"/>
    <w:rsid w:val="7E403C7E"/>
    <w:rsid w:val="7E72342E"/>
    <w:rsid w:val="7ED44A81"/>
    <w:rsid w:val="7EE01989"/>
    <w:rsid w:val="7EE1053D"/>
    <w:rsid w:val="7EF10E29"/>
    <w:rsid w:val="7EF96A0D"/>
    <w:rsid w:val="7EFD5F40"/>
    <w:rsid w:val="7F231565"/>
    <w:rsid w:val="7F311EAF"/>
    <w:rsid w:val="7F6C2F0C"/>
    <w:rsid w:val="7F9B1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1"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1" w:name="table of figures"/>
    <w:lsdException w:uiPriority="1" w:name="envelope address"/>
    <w:lsdException w:uiPriority="1" w:name="envelope return"/>
    <w:lsdException w:uiPriority="1" w:name="footnote reference"/>
    <w:lsdException w:qFormat="1" w:unhideWhenUsed="0"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qFormat="1" w:unhideWhenUsed="0" w:uiPriority="0" w:semiHidden="0"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qFormat="1" w:unhideWhenUsed="0" w:uiPriority="0" w:semiHidden="0" w:name="List Bullet 2"/>
    <w:lsdException w:uiPriority="1" w:name="List Bullet 3"/>
    <w:lsdException w:qFormat="1" w:unhideWhenUsed="0" w:uiPriority="0" w:semiHidden="0"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qFormat="1" w:uiPriority="0" w:semiHidden="0"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nhideWhenUsed="0" w:uiPriority="0" w:semiHidden="0" w:name="HTML Preformatted"/>
    <w:lsdException w:uiPriority="1" w:name="HTML Sample"/>
    <w:lsdException w:qFormat="1" w:unhideWhenUsed="0" w:uiPriority="0" w:semiHidden="0" w:name="HTML Typewriter"/>
    <w:lsdException w:uiPriority="1" w:name="HTML Variable"/>
    <w:lsdException w:qFormat="1" w:uiPriority="99"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99" w:semiHidden="0" w:name="Balloon Text"/>
    <w:lsdException w:qFormat="1" w:unhideWhenUsed="0" w:uiPriority="59" w:semiHidden="0" w:name="Table Grid"/>
    <w:lsdException w:uiPriority="1"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3" w:lineRule="auto"/>
      <w:outlineLvl w:val="2"/>
    </w:pPr>
    <w:rPr>
      <w:b/>
      <w:bCs/>
      <w:sz w:val="32"/>
      <w:szCs w:val="32"/>
    </w:rPr>
  </w:style>
  <w:style w:type="paragraph" w:styleId="6">
    <w:name w:val="heading 4"/>
    <w:basedOn w:val="1"/>
    <w:next w:val="1"/>
    <w:link w:val="62"/>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0"/>
    <w:pPr>
      <w:keepNext/>
      <w:adjustRightInd w:val="0"/>
      <w:snapToGrid w:val="0"/>
      <w:spacing w:before="100" w:beforeAutospacing="1" w:after="100" w:afterAutospacing="1"/>
      <w:jc w:val="center"/>
      <w:outlineLvl w:val="4"/>
    </w:pPr>
    <w:rPr>
      <w:rFonts w:ascii="宋体" w:hAnsi="宋体"/>
      <w:b/>
      <w:bCs/>
      <w:color w:val="000000"/>
      <w:szCs w:val="21"/>
    </w:rPr>
  </w:style>
  <w:style w:type="paragraph" w:styleId="8">
    <w:name w:val="heading 6"/>
    <w:basedOn w:val="1"/>
    <w:next w:val="1"/>
    <w:link w:val="64"/>
    <w:qFormat/>
    <w:uiPriority w:val="0"/>
    <w:pPr>
      <w:keepNext/>
      <w:keepLines/>
      <w:spacing w:before="240" w:after="64" w:line="317" w:lineRule="auto"/>
      <w:outlineLvl w:val="5"/>
    </w:pPr>
    <w:rPr>
      <w:rFonts w:ascii="Arial" w:hAnsi="Arial" w:eastAsia="黑体"/>
      <w:b/>
      <w:bCs/>
      <w:sz w:val="24"/>
    </w:rPr>
  </w:style>
  <w:style w:type="paragraph" w:styleId="9">
    <w:name w:val="heading 7"/>
    <w:basedOn w:val="1"/>
    <w:next w:val="1"/>
    <w:link w:val="65"/>
    <w:qFormat/>
    <w:uiPriority w:val="0"/>
    <w:pPr>
      <w:keepNext/>
      <w:keepLines/>
      <w:spacing w:before="240" w:after="64" w:line="317" w:lineRule="auto"/>
      <w:outlineLvl w:val="6"/>
    </w:pPr>
    <w:rPr>
      <w:b/>
      <w:bCs/>
      <w:sz w:val="24"/>
    </w:rPr>
  </w:style>
  <w:style w:type="paragraph" w:styleId="10">
    <w:name w:val="heading 8"/>
    <w:basedOn w:val="1"/>
    <w:next w:val="1"/>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67"/>
    <w:qFormat/>
    <w:uiPriority w:val="0"/>
    <w:pPr>
      <w:keepNext/>
      <w:keepLines/>
      <w:spacing w:before="240" w:after="64" w:line="317" w:lineRule="auto"/>
      <w:outlineLvl w:val="8"/>
    </w:pPr>
    <w:rPr>
      <w:rFonts w:ascii="Arial" w:hAnsi="Arial" w:eastAsia="黑体"/>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0"/>
    <w:qFormat/>
    <w:uiPriority w:val="0"/>
    <w:pPr>
      <w:ind w:firstLine="420"/>
    </w:pPr>
    <w:rPr>
      <w:szCs w:val="20"/>
    </w:rPr>
  </w:style>
  <w:style w:type="paragraph" w:styleId="12">
    <w:name w:val="toc 7"/>
    <w:basedOn w:val="1"/>
    <w:next w:val="1"/>
    <w:qFormat/>
    <w:uiPriority w:val="0"/>
    <w:pPr>
      <w:ind w:left="1260"/>
      <w:jc w:val="left"/>
    </w:pPr>
    <w:rPr>
      <w:sz w:val="18"/>
      <w:szCs w:val="18"/>
    </w:rPr>
  </w:style>
  <w:style w:type="paragraph" w:styleId="13">
    <w:name w:val="List Bullet 4"/>
    <w:basedOn w:val="1"/>
    <w:qFormat/>
    <w:uiPriority w:val="0"/>
    <w:pPr>
      <w:tabs>
        <w:tab w:val="left" w:pos="285"/>
      </w:tabs>
      <w:ind w:left="285" w:hanging="285"/>
    </w:pPr>
    <w:rPr>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8"/>
    <w:qFormat/>
    <w:uiPriority w:val="0"/>
    <w:pPr>
      <w:shd w:val="clear" w:color="auto" w:fill="000080"/>
    </w:pPr>
  </w:style>
  <w:style w:type="paragraph" w:styleId="16">
    <w:name w:val="toa heading"/>
    <w:basedOn w:val="1"/>
    <w:next w:val="1"/>
    <w:qFormat/>
    <w:uiPriority w:val="0"/>
    <w:pPr>
      <w:widowControl/>
      <w:tabs>
        <w:tab w:val="left" w:pos="9000"/>
        <w:tab w:val="right" w:pos="9360"/>
      </w:tabs>
      <w:suppressAutoHyphens/>
      <w:jc w:val="left"/>
    </w:pPr>
    <w:rPr>
      <w:rFonts w:ascii="Courier" w:hAnsi="Courier"/>
      <w:kern w:val="0"/>
      <w:sz w:val="20"/>
      <w:szCs w:val="20"/>
      <w:lang w:eastAsia="en-US"/>
    </w:rPr>
  </w:style>
  <w:style w:type="paragraph" w:styleId="17">
    <w:name w:val="annotation text"/>
    <w:basedOn w:val="1"/>
    <w:link w:val="69"/>
    <w:qFormat/>
    <w:uiPriority w:val="99"/>
    <w:pPr>
      <w:jc w:val="left"/>
    </w:pPr>
    <w:rPr>
      <w:sz w:val="24"/>
    </w:rPr>
  </w:style>
  <w:style w:type="paragraph" w:styleId="18">
    <w:name w:val="Body Text 3"/>
    <w:basedOn w:val="1"/>
    <w:link w:val="70"/>
    <w:qFormat/>
    <w:uiPriority w:val="0"/>
    <w:pPr>
      <w:spacing w:after="120"/>
    </w:pPr>
    <w:rPr>
      <w:sz w:val="16"/>
      <w:szCs w:val="16"/>
    </w:rPr>
  </w:style>
  <w:style w:type="paragraph" w:styleId="19">
    <w:name w:val="Closing"/>
    <w:basedOn w:val="1"/>
    <w:link w:val="71"/>
    <w:unhideWhenUsed/>
    <w:qFormat/>
    <w:uiPriority w:val="0"/>
    <w:pPr>
      <w:ind w:left="100" w:leftChars="2100"/>
    </w:pPr>
    <w:rPr>
      <w:rFonts w:ascii="宋体" w:hAnsi="宋体"/>
      <w:color w:val="000000"/>
      <w:sz w:val="24"/>
      <w:szCs w:val="20"/>
    </w:rPr>
  </w:style>
  <w:style w:type="paragraph" w:styleId="20">
    <w:name w:val="Body Text"/>
    <w:basedOn w:val="1"/>
    <w:next w:val="21"/>
    <w:link w:val="72"/>
    <w:qFormat/>
    <w:uiPriority w:val="0"/>
    <w:pPr>
      <w:spacing w:line="360" w:lineRule="auto"/>
    </w:pPr>
    <w:rPr>
      <w:szCs w:val="20"/>
    </w:rPr>
  </w:style>
  <w:style w:type="paragraph" w:customStyle="1" w:styleId="21">
    <w:name w:val="RFI Heading 2nd Level Char"/>
    <w:basedOn w:val="1"/>
    <w:next w:val="22"/>
    <w:qFormat/>
    <w:uiPriority w:val="0"/>
    <w:pPr>
      <w:widowControl/>
      <w:spacing w:before="240" w:after="240"/>
      <w:ind w:left="1152" w:hanging="1152"/>
      <w:outlineLvl w:val="1"/>
    </w:pPr>
    <w:rPr>
      <w:rFonts w:ascii="Arial (W1)" w:eastAsia="Times New Roman"/>
      <w:b/>
      <w:color w:val="3366FF"/>
      <w:sz w:val="24"/>
    </w:rPr>
  </w:style>
  <w:style w:type="paragraph" w:customStyle="1" w:styleId="22">
    <w:name w:val="Normal 0.51"/>
    <w:basedOn w:val="1"/>
    <w:next w:val="1"/>
    <w:qFormat/>
    <w:uiPriority w:val="0"/>
    <w:pPr>
      <w:widowControl/>
      <w:spacing w:before="180" w:after="120"/>
      <w:ind w:left="720"/>
    </w:pPr>
    <w:rPr>
      <w:sz w:val="24"/>
    </w:rPr>
  </w:style>
  <w:style w:type="paragraph" w:styleId="23">
    <w:name w:val="Body Text Indent"/>
    <w:basedOn w:val="1"/>
    <w:link w:val="73"/>
    <w:qFormat/>
    <w:uiPriority w:val="0"/>
    <w:pPr>
      <w:ind w:firstLine="830" w:firstLineChars="352"/>
    </w:pPr>
    <w:rPr>
      <w:rFonts w:ascii="仿宋_GB2312" w:eastAsia="仿宋_GB2312"/>
      <w:sz w:val="32"/>
      <w:szCs w:val="20"/>
    </w:rPr>
  </w:style>
  <w:style w:type="paragraph" w:styleId="24">
    <w:name w:val="Block Text"/>
    <w:basedOn w:val="1"/>
    <w:qFormat/>
    <w:uiPriority w:val="0"/>
    <w:pPr>
      <w:widowControl/>
      <w:autoSpaceDE w:val="0"/>
      <w:autoSpaceDN w:val="0"/>
      <w:adjustRightInd w:val="0"/>
      <w:snapToGrid w:val="0"/>
      <w:ind w:left="852" w:leftChars="1" w:right="-185" w:rightChars="-88" w:hanging="850" w:hangingChars="405"/>
      <w:textAlignment w:val="bottom"/>
    </w:pPr>
    <w:rPr>
      <w:rFonts w:ascii="Garamond" w:hAnsi="Garamond" w:cs="Garamond"/>
      <w:szCs w:val="21"/>
    </w:rPr>
  </w:style>
  <w:style w:type="paragraph" w:styleId="25">
    <w:name w:val="List Bullet 2"/>
    <w:basedOn w:val="1"/>
    <w:qFormat/>
    <w:uiPriority w:val="0"/>
    <w:pPr>
      <w:tabs>
        <w:tab w:val="left" w:pos="420"/>
      </w:tabs>
      <w:ind w:left="420" w:hanging="420"/>
    </w:pPr>
    <w:rPr>
      <w:szCs w:val="20"/>
    </w:rPr>
  </w:style>
  <w:style w:type="paragraph" w:styleId="26">
    <w:name w:val="toc 5"/>
    <w:basedOn w:val="1"/>
    <w:next w:val="1"/>
    <w:qFormat/>
    <w:uiPriority w:val="0"/>
    <w:pPr>
      <w:ind w:left="840"/>
      <w:jc w:val="left"/>
    </w:pPr>
    <w:rPr>
      <w:sz w:val="18"/>
      <w:szCs w:val="18"/>
    </w:rPr>
  </w:style>
  <w:style w:type="paragraph" w:styleId="27">
    <w:name w:val="toc 3"/>
    <w:basedOn w:val="1"/>
    <w:next w:val="1"/>
    <w:qFormat/>
    <w:uiPriority w:val="39"/>
    <w:pPr>
      <w:ind w:left="420"/>
      <w:jc w:val="left"/>
    </w:pPr>
    <w:rPr>
      <w:i/>
      <w:iCs/>
      <w:sz w:val="20"/>
      <w:szCs w:val="20"/>
    </w:rPr>
  </w:style>
  <w:style w:type="paragraph" w:styleId="28">
    <w:name w:val="Plain Text"/>
    <w:basedOn w:val="1"/>
    <w:link w:val="74"/>
    <w:qFormat/>
    <w:uiPriority w:val="0"/>
    <w:rPr>
      <w:rFonts w:ascii="宋体" w:hAnsi="Courier New" w:cs="Courier New"/>
      <w:szCs w:val="21"/>
    </w:rPr>
  </w:style>
  <w:style w:type="paragraph" w:styleId="29">
    <w:name w:val="toc 8"/>
    <w:basedOn w:val="1"/>
    <w:next w:val="1"/>
    <w:qFormat/>
    <w:uiPriority w:val="0"/>
    <w:pPr>
      <w:ind w:left="1470"/>
      <w:jc w:val="left"/>
    </w:pPr>
    <w:rPr>
      <w:sz w:val="18"/>
      <w:szCs w:val="18"/>
    </w:rPr>
  </w:style>
  <w:style w:type="paragraph" w:styleId="30">
    <w:name w:val="Date"/>
    <w:basedOn w:val="1"/>
    <w:next w:val="1"/>
    <w:link w:val="75"/>
    <w:qFormat/>
    <w:uiPriority w:val="0"/>
    <w:pPr>
      <w:ind w:left="100" w:leftChars="2500"/>
    </w:pPr>
  </w:style>
  <w:style w:type="paragraph" w:styleId="31">
    <w:name w:val="Body Text Indent 2"/>
    <w:basedOn w:val="1"/>
    <w:link w:val="76"/>
    <w:qFormat/>
    <w:uiPriority w:val="0"/>
    <w:pPr>
      <w:ind w:left="718" w:leftChars="342"/>
    </w:pPr>
    <w:rPr>
      <w:sz w:val="28"/>
    </w:rPr>
  </w:style>
  <w:style w:type="paragraph" w:styleId="32">
    <w:name w:val="Balloon Text"/>
    <w:basedOn w:val="1"/>
    <w:link w:val="77"/>
    <w:qFormat/>
    <w:uiPriority w:val="99"/>
    <w:rPr>
      <w:sz w:val="18"/>
      <w:szCs w:val="18"/>
    </w:rPr>
  </w:style>
  <w:style w:type="paragraph" w:styleId="33">
    <w:name w:val="footer"/>
    <w:basedOn w:val="1"/>
    <w:link w:val="78"/>
    <w:qFormat/>
    <w:uiPriority w:val="99"/>
    <w:pPr>
      <w:tabs>
        <w:tab w:val="center" w:pos="4153"/>
        <w:tab w:val="right" w:pos="8306"/>
      </w:tabs>
      <w:snapToGrid w:val="0"/>
      <w:jc w:val="left"/>
    </w:pPr>
    <w:rPr>
      <w:sz w:val="18"/>
      <w:szCs w:val="18"/>
    </w:rPr>
  </w:style>
  <w:style w:type="paragraph" w:styleId="34">
    <w:name w:val="header"/>
    <w:basedOn w:val="1"/>
    <w:link w:val="79"/>
    <w:qFormat/>
    <w:uiPriority w:val="0"/>
    <w:pPr>
      <w:pBdr>
        <w:bottom w:val="single" w:color="auto" w:sz="6" w:space="1"/>
      </w:pBdr>
      <w:tabs>
        <w:tab w:val="center" w:pos="4153"/>
        <w:tab w:val="right" w:pos="8306"/>
      </w:tabs>
      <w:snapToGrid w:val="0"/>
      <w:jc w:val="center"/>
    </w:pPr>
    <w:rPr>
      <w:rFonts w:ascii="宋体" w:hAnsi="宋体"/>
      <w:b/>
      <w:szCs w:val="18"/>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0"/>
    <w:pPr>
      <w:ind w:left="630"/>
      <w:jc w:val="left"/>
    </w:pPr>
    <w:rPr>
      <w:sz w:val="18"/>
      <w:szCs w:val="18"/>
    </w:rPr>
  </w:style>
  <w:style w:type="paragraph" w:styleId="37">
    <w:name w:val="index heading"/>
    <w:basedOn w:val="1"/>
    <w:next w:val="38"/>
    <w:qFormat/>
    <w:uiPriority w:val="0"/>
    <w:rPr>
      <w:szCs w:val="20"/>
    </w:rPr>
  </w:style>
  <w:style w:type="paragraph" w:styleId="38">
    <w:name w:val="index 1"/>
    <w:basedOn w:val="1"/>
    <w:next w:val="1"/>
    <w:qFormat/>
    <w:uiPriority w:val="0"/>
    <w:pPr>
      <w:tabs>
        <w:tab w:val="left" w:pos="7740"/>
      </w:tabs>
      <w:jc w:val="center"/>
    </w:pPr>
    <w:rPr>
      <w:rFonts w:ascii="仿宋" w:hAnsi="仿宋" w:eastAsia="仿宋"/>
      <w:b/>
      <w:sz w:val="28"/>
      <w:szCs w:val="28"/>
    </w:rPr>
  </w:style>
  <w:style w:type="paragraph" w:styleId="39">
    <w:name w:val="toc 6"/>
    <w:basedOn w:val="1"/>
    <w:next w:val="1"/>
    <w:qFormat/>
    <w:uiPriority w:val="0"/>
    <w:pPr>
      <w:ind w:left="1050"/>
      <w:jc w:val="left"/>
    </w:pPr>
    <w:rPr>
      <w:sz w:val="18"/>
      <w:szCs w:val="18"/>
    </w:rPr>
  </w:style>
  <w:style w:type="paragraph" w:styleId="40">
    <w:name w:val="Body Text Indent 3"/>
    <w:basedOn w:val="1"/>
    <w:link w:val="80"/>
    <w:qFormat/>
    <w:uiPriority w:val="0"/>
    <w:pPr>
      <w:spacing w:line="360" w:lineRule="auto"/>
      <w:ind w:firstLine="420" w:firstLineChars="200"/>
    </w:pPr>
    <w:rPr>
      <w:szCs w:val="20"/>
    </w:rPr>
  </w:style>
  <w:style w:type="paragraph" w:styleId="41">
    <w:name w:val="toc 2"/>
    <w:basedOn w:val="1"/>
    <w:next w:val="1"/>
    <w:qFormat/>
    <w:uiPriority w:val="39"/>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Body Text 2"/>
    <w:basedOn w:val="1"/>
    <w:link w:val="81"/>
    <w:qFormat/>
    <w:uiPriority w:val="0"/>
    <w:pPr>
      <w:spacing w:line="300" w:lineRule="auto"/>
    </w:pPr>
    <w:rPr>
      <w:rFonts w:ascii="宋体" w:hAnsi="宋体"/>
      <w:color w:val="0000FF"/>
      <w:sz w:val="24"/>
    </w:rPr>
  </w:style>
  <w:style w:type="paragraph" w:styleId="4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6">
    <w:name w:val="Title"/>
    <w:basedOn w:val="1"/>
    <w:link w:val="83"/>
    <w:qFormat/>
    <w:uiPriority w:val="0"/>
    <w:pPr>
      <w:spacing w:before="240" w:after="60"/>
      <w:jc w:val="center"/>
      <w:outlineLvl w:val="0"/>
    </w:pPr>
    <w:rPr>
      <w:rFonts w:ascii="Arial" w:hAnsi="Arial"/>
      <w:b/>
      <w:bCs/>
      <w:sz w:val="32"/>
      <w:szCs w:val="32"/>
    </w:rPr>
  </w:style>
  <w:style w:type="paragraph" w:styleId="47">
    <w:name w:val="annotation subject"/>
    <w:basedOn w:val="17"/>
    <w:next w:val="17"/>
    <w:link w:val="84"/>
    <w:qFormat/>
    <w:uiPriority w:val="0"/>
    <w:rPr>
      <w:b/>
      <w:bCs/>
    </w:rPr>
  </w:style>
  <w:style w:type="paragraph" w:styleId="48">
    <w:name w:val="Body Text First Indent 2"/>
    <w:basedOn w:val="23"/>
    <w:link w:val="85"/>
    <w:unhideWhenUsed/>
    <w:qFormat/>
    <w:uiPriority w:val="99"/>
    <w:pPr>
      <w:ind w:firstLine="420" w:firstLineChars="200"/>
    </w:pPr>
  </w:style>
  <w:style w:type="table" w:styleId="50">
    <w:name w:val="Table Grid"/>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rFonts w:ascii="Tahoma" w:hAnsi="Tahoma" w:eastAsia="宋体"/>
      <w:b/>
      <w:bCs/>
      <w:spacing w:val="10"/>
      <w:sz w:val="24"/>
      <w:lang w:val="en-US" w:eastAsia="zh-CN" w:bidi="ar-SA"/>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i/>
    </w:rPr>
  </w:style>
  <w:style w:type="character" w:styleId="56">
    <w:name w:val="HTML Typewriter"/>
    <w:qFormat/>
    <w:uiPriority w:val="0"/>
    <w:rPr>
      <w:rFonts w:ascii="黑体" w:hAnsi="Courier New" w:eastAsia="黑体" w:cs="Courier New"/>
      <w:sz w:val="14"/>
      <w:szCs w:val="14"/>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customStyle="1" w:styleId="59">
    <w:name w:val="标题 1 字符"/>
    <w:link w:val="2"/>
    <w:qFormat/>
    <w:uiPriority w:val="0"/>
    <w:rPr>
      <w:rFonts w:eastAsia="宋体"/>
      <w:b/>
      <w:bCs/>
      <w:kern w:val="44"/>
      <w:sz w:val="44"/>
      <w:szCs w:val="44"/>
      <w:lang w:val="en-US" w:eastAsia="zh-CN" w:bidi="ar-SA"/>
    </w:rPr>
  </w:style>
  <w:style w:type="character" w:customStyle="1" w:styleId="60">
    <w:name w:val="正文缩进 字符1"/>
    <w:link w:val="4"/>
    <w:qFormat/>
    <w:uiPriority w:val="0"/>
    <w:rPr>
      <w:rFonts w:eastAsia="宋体"/>
      <w:kern w:val="2"/>
      <w:sz w:val="21"/>
      <w:lang w:val="en-US" w:eastAsia="zh-CN" w:bidi="ar-SA"/>
    </w:rPr>
  </w:style>
  <w:style w:type="character" w:customStyle="1" w:styleId="61">
    <w:name w:val="标题 3 字符"/>
    <w:link w:val="5"/>
    <w:qFormat/>
    <w:uiPriority w:val="0"/>
    <w:rPr>
      <w:rFonts w:eastAsia="宋体"/>
      <w:b/>
      <w:bCs/>
      <w:kern w:val="2"/>
      <w:sz w:val="32"/>
      <w:szCs w:val="32"/>
      <w:lang w:val="en-US" w:eastAsia="zh-CN" w:bidi="ar-SA"/>
    </w:rPr>
  </w:style>
  <w:style w:type="character" w:customStyle="1" w:styleId="62">
    <w:name w:val="标题 4 字符"/>
    <w:link w:val="6"/>
    <w:qFormat/>
    <w:uiPriority w:val="9"/>
    <w:rPr>
      <w:rFonts w:ascii="Arial" w:hAnsi="Arial" w:eastAsia="黑体"/>
      <w:b/>
      <w:bCs/>
      <w:kern w:val="2"/>
      <w:sz w:val="28"/>
      <w:szCs w:val="28"/>
    </w:rPr>
  </w:style>
  <w:style w:type="character" w:customStyle="1" w:styleId="63">
    <w:name w:val="标题 5 字符"/>
    <w:link w:val="7"/>
    <w:qFormat/>
    <w:uiPriority w:val="0"/>
    <w:rPr>
      <w:rFonts w:ascii="宋体" w:hAnsi="宋体" w:cs="宋体"/>
      <w:b/>
      <w:bCs/>
      <w:color w:val="000000"/>
      <w:kern w:val="2"/>
      <w:sz w:val="21"/>
      <w:szCs w:val="21"/>
    </w:rPr>
  </w:style>
  <w:style w:type="character" w:customStyle="1" w:styleId="64">
    <w:name w:val="标题 6 字符"/>
    <w:link w:val="8"/>
    <w:qFormat/>
    <w:uiPriority w:val="0"/>
    <w:rPr>
      <w:rFonts w:ascii="Arial" w:hAnsi="Arial" w:eastAsia="黑体" w:cs="Arial"/>
      <w:b/>
      <w:bCs/>
      <w:kern w:val="2"/>
      <w:sz w:val="24"/>
      <w:szCs w:val="24"/>
    </w:rPr>
  </w:style>
  <w:style w:type="character" w:customStyle="1" w:styleId="65">
    <w:name w:val="标题 7 字符"/>
    <w:link w:val="9"/>
    <w:qFormat/>
    <w:uiPriority w:val="0"/>
    <w:rPr>
      <w:b/>
      <w:bCs/>
      <w:kern w:val="2"/>
      <w:sz w:val="24"/>
      <w:szCs w:val="24"/>
    </w:rPr>
  </w:style>
  <w:style w:type="character" w:customStyle="1" w:styleId="66">
    <w:name w:val="标题 8 字符"/>
    <w:link w:val="10"/>
    <w:qFormat/>
    <w:uiPriority w:val="0"/>
    <w:rPr>
      <w:rFonts w:ascii="Arial" w:hAnsi="Arial" w:eastAsia="黑体" w:cs="Arial"/>
      <w:kern w:val="2"/>
      <w:sz w:val="24"/>
      <w:szCs w:val="24"/>
    </w:rPr>
  </w:style>
  <w:style w:type="character" w:customStyle="1" w:styleId="67">
    <w:name w:val="标题 9 字符"/>
    <w:link w:val="11"/>
    <w:qFormat/>
    <w:uiPriority w:val="0"/>
    <w:rPr>
      <w:rFonts w:ascii="Arial" w:hAnsi="Arial" w:eastAsia="黑体" w:cs="Arial"/>
      <w:kern w:val="2"/>
      <w:sz w:val="21"/>
      <w:szCs w:val="21"/>
    </w:rPr>
  </w:style>
  <w:style w:type="character" w:customStyle="1" w:styleId="68">
    <w:name w:val="文档结构图 字符"/>
    <w:link w:val="15"/>
    <w:qFormat/>
    <w:uiPriority w:val="0"/>
    <w:rPr>
      <w:kern w:val="2"/>
      <w:sz w:val="21"/>
      <w:szCs w:val="24"/>
      <w:shd w:val="clear" w:color="auto" w:fill="000080"/>
    </w:rPr>
  </w:style>
  <w:style w:type="character" w:customStyle="1" w:styleId="69">
    <w:name w:val="批注文字 字符1"/>
    <w:link w:val="17"/>
    <w:qFormat/>
    <w:uiPriority w:val="99"/>
    <w:rPr>
      <w:kern w:val="2"/>
      <w:sz w:val="24"/>
      <w:szCs w:val="24"/>
    </w:rPr>
  </w:style>
  <w:style w:type="character" w:customStyle="1" w:styleId="70">
    <w:name w:val="正文文本 3 字符"/>
    <w:link w:val="18"/>
    <w:qFormat/>
    <w:uiPriority w:val="0"/>
    <w:rPr>
      <w:kern w:val="2"/>
      <w:sz w:val="16"/>
      <w:szCs w:val="16"/>
    </w:rPr>
  </w:style>
  <w:style w:type="character" w:customStyle="1" w:styleId="71">
    <w:name w:val="结束语 字符"/>
    <w:link w:val="19"/>
    <w:qFormat/>
    <w:uiPriority w:val="0"/>
    <w:rPr>
      <w:rFonts w:ascii="宋体" w:hAnsi="宋体"/>
      <w:color w:val="000000"/>
      <w:kern w:val="2"/>
      <w:sz w:val="24"/>
    </w:rPr>
  </w:style>
  <w:style w:type="character" w:customStyle="1" w:styleId="72">
    <w:name w:val="正文文本 字符"/>
    <w:link w:val="20"/>
    <w:qFormat/>
    <w:uiPriority w:val="0"/>
    <w:rPr>
      <w:kern w:val="2"/>
      <w:sz w:val="21"/>
    </w:rPr>
  </w:style>
  <w:style w:type="character" w:customStyle="1" w:styleId="73">
    <w:name w:val="正文文本缩进 字符"/>
    <w:link w:val="23"/>
    <w:qFormat/>
    <w:uiPriority w:val="0"/>
    <w:rPr>
      <w:rFonts w:ascii="仿宋_GB2312" w:eastAsia="仿宋_GB2312"/>
      <w:kern w:val="2"/>
      <w:sz w:val="32"/>
    </w:rPr>
  </w:style>
  <w:style w:type="character" w:customStyle="1" w:styleId="74">
    <w:name w:val="纯文本 字符1"/>
    <w:link w:val="28"/>
    <w:qFormat/>
    <w:uiPriority w:val="0"/>
    <w:rPr>
      <w:rFonts w:ascii="宋体" w:hAnsi="Courier New" w:eastAsia="宋体" w:cs="Courier New"/>
      <w:kern w:val="2"/>
      <w:sz w:val="21"/>
      <w:szCs w:val="21"/>
      <w:lang w:val="en-US" w:eastAsia="zh-CN" w:bidi="ar-SA"/>
    </w:rPr>
  </w:style>
  <w:style w:type="character" w:customStyle="1" w:styleId="75">
    <w:name w:val="日期 字符"/>
    <w:link w:val="30"/>
    <w:qFormat/>
    <w:uiPriority w:val="0"/>
    <w:rPr>
      <w:kern w:val="2"/>
      <w:sz w:val="21"/>
      <w:szCs w:val="24"/>
    </w:rPr>
  </w:style>
  <w:style w:type="character" w:customStyle="1" w:styleId="76">
    <w:name w:val="正文文本缩进 2 字符"/>
    <w:link w:val="31"/>
    <w:qFormat/>
    <w:uiPriority w:val="0"/>
    <w:rPr>
      <w:kern w:val="2"/>
      <w:sz w:val="28"/>
      <w:szCs w:val="24"/>
    </w:rPr>
  </w:style>
  <w:style w:type="character" w:customStyle="1" w:styleId="77">
    <w:name w:val="批注框文本 字符"/>
    <w:link w:val="32"/>
    <w:qFormat/>
    <w:uiPriority w:val="99"/>
    <w:rPr>
      <w:kern w:val="2"/>
      <w:sz w:val="18"/>
      <w:szCs w:val="18"/>
    </w:rPr>
  </w:style>
  <w:style w:type="character" w:customStyle="1" w:styleId="78">
    <w:name w:val="页脚 字符"/>
    <w:link w:val="33"/>
    <w:qFormat/>
    <w:uiPriority w:val="99"/>
    <w:rPr>
      <w:rFonts w:eastAsia="宋体"/>
      <w:kern w:val="2"/>
      <w:sz w:val="18"/>
      <w:szCs w:val="18"/>
      <w:lang w:val="en-US" w:eastAsia="zh-CN" w:bidi="ar-SA"/>
    </w:rPr>
  </w:style>
  <w:style w:type="character" w:customStyle="1" w:styleId="79">
    <w:name w:val="页眉 字符"/>
    <w:link w:val="34"/>
    <w:qFormat/>
    <w:uiPriority w:val="0"/>
    <w:rPr>
      <w:rFonts w:ascii="宋体" w:hAnsi="宋体"/>
      <w:b/>
      <w:kern w:val="2"/>
      <w:sz w:val="21"/>
      <w:szCs w:val="18"/>
    </w:rPr>
  </w:style>
  <w:style w:type="character" w:customStyle="1" w:styleId="80">
    <w:name w:val="正文文本缩进 3 字符"/>
    <w:link w:val="40"/>
    <w:qFormat/>
    <w:uiPriority w:val="0"/>
    <w:rPr>
      <w:kern w:val="2"/>
      <w:sz w:val="21"/>
    </w:rPr>
  </w:style>
  <w:style w:type="character" w:customStyle="1" w:styleId="81">
    <w:name w:val="正文文本 2 字符"/>
    <w:link w:val="43"/>
    <w:qFormat/>
    <w:uiPriority w:val="0"/>
    <w:rPr>
      <w:rFonts w:ascii="宋体" w:hAnsi="宋体"/>
      <w:color w:val="0000FF"/>
      <w:kern w:val="2"/>
      <w:sz w:val="24"/>
      <w:szCs w:val="24"/>
    </w:rPr>
  </w:style>
  <w:style w:type="character" w:customStyle="1" w:styleId="82">
    <w:name w:val="HTML 预设格式 字符"/>
    <w:link w:val="44"/>
    <w:qFormat/>
    <w:uiPriority w:val="0"/>
    <w:rPr>
      <w:rFonts w:ascii="Arial Unicode MS" w:hAnsi="Arial Unicode MS" w:eastAsia="Arial Unicode MS" w:cs="Arial Unicode MS"/>
      <w:color w:val="000000"/>
    </w:rPr>
  </w:style>
  <w:style w:type="character" w:customStyle="1" w:styleId="83">
    <w:name w:val="标题 字符1"/>
    <w:link w:val="46"/>
    <w:qFormat/>
    <w:uiPriority w:val="0"/>
    <w:rPr>
      <w:rFonts w:ascii="Arial" w:hAnsi="Arial" w:cs="Arial"/>
      <w:b/>
      <w:bCs/>
      <w:kern w:val="2"/>
      <w:sz w:val="32"/>
      <w:szCs w:val="32"/>
    </w:rPr>
  </w:style>
  <w:style w:type="character" w:customStyle="1" w:styleId="84">
    <w:name w:val="批注主题 字符"/>
    <w:link w:val="47"/>
    <w:qFormat/>
    <w:uiPriority w:val="0"/>
    <w:rPr>
      <w:b/>
      <w:bCs/>
      <w:kern w:val="2"/>
      <w:sz w:val="21"/>
      <w:szCs w:val="24"/>
    </w:rPr>
  </w:style>
  <w:style w:type="character" w:customStyle="1" w:styleId="85">
    <w:name w:val="正文文本首行缩进 2 字符"/>
    <w:link w:val="48"/>
    <w:qFormat/>
    <w:uiPriority w:val="0"/>
    <w:rPr>
      <w:rFonts w:hint="default" w:ascii="Times New Roman" w:hAnsi="Times New Roman" w:eastAsia="宋体" w:cs="Times New Roman"/>
      <w:szCs w:val="24"/>
    </w:rPr>
  </w:style>
  <w:style w:type="character" w:customStyle="1" w:styleId="86">
    <w:name w:val="批注文字 字符"/>
    <w:qFormat/>
    <w:uiPriority w:val="99"/>
    <w:rPr>
      <w:kern w:val="2"/>
      <w:sz w:val="21"/>
      <w:szCs w:val="24"/>
    </w:rPr>
  </w:style>
  <w:style w:type="paragraph" w:customStyle="1" w:styleId="87">
    <w:name w:val="正文文本首行缩进1"/>
    <w:basedOn w:val="20"/>
    <w:link w:val="88"/>
    <w:qFormat/>
    <w:uiPriority w:val="0"/>
    <w:pPr>
      <w:spacing w:after="120" w:line="240" w:lineRule="auto"/>
      <w:ind w:firstLine="420" w:firstLineChars="100"/>
    </w:pPr>
    <w:rPr>
      <w:szCs w:val="24"/>
    </w:rPr>
  </w:style>
  <w:style w:type="character" w:customStyle="1" w:styleId="88">
    <w:name w:val="正文文本首行缩进 字符"/>
    <w:link w:val="87"/>
    <w:qFormat/>
    <w:uiPriority w:val="0"/>
    <w:rPr>
      <w:kern w:val="2"/>
      <w:sz w:val="21"/>
      <w:szCs w:val="24"/>
    </w:rPr>
  </w:style>
  <w:style w:type="paragraph" w:customStyle="1" w:styleId="89">
    <w:name w:val="表格文字"/>
    <w:basedOn w:val="1"/>
    <w:qFormat/>
    <w:uiPriority w:val="0"/>
    <w:pPr>
      <w:spacing w:before="25" w:after="25"/>
      <w:jc w:val="left"/>
    </w:pPr>
    <w:rPr>
      <w:bCs/>
      <w:spacing w:val="10"/>
      <w:kern w:val="0"/>
      <w:sz w:val="24"/>
      <w:szCs w:val="20"/>
    </w:rPr>
  </w:style>
  <w:style w:type="character" w:customStyle="1" w:styleId="90">
    <w:name w:val="正文文本缩进 3 Char1"/>
    <w:semiHidden/>
    <w:qFormat/>
    <w:uiPriority w:val="99"/>
    <w:rPr>
      <w:kern w:val="2"/>
      <w:sz w:val="16"/>
      <w:szCs w:val="16"/>
    </w:rPr>
  </w:style>
  <w:style w:type="character" w:customStyle="1" w:styleId="91">
    <w:name w:val="标题3 字符"/>
    <w:link w:val="92"/>
    <w:qFormat/>
    <w:uiPriority w:val="0"/>
    <w:rPr>
      <w:b/>
      <w:kern w:val="2"/>
      <w:sz w:val="24"/>
      <w:szCs w:val="28"/>
      <w:lang w:val="en-US" w:eastAsia="zh-CN" w:bidi="ar-SA"/>
    </w:rPr>
  </w:style>
  <w:style w:type="paragraph" w:customStyle="1" w:styleId="92">
    <w:name w:val="标题3"/>
    <w:next w:val="1"/>
    <w:link w:val="91"/>
    <w:qFormat/>
    <w:uiPriority w:val="0"/>
    <w:pPr>
      <w:snapToGrid w:val="0"/>
      <w:spacing w:beforeLines="50" w:line="360" w:lineRule="auto"/>
    </w:pPr>
    <w:rPr>
      <w:rFonts w:ascii="Times New Roman" w:hAnsi="Times New Roman" w:eastAsia="宋体" w:cs="Times New Roman"/>
      <w:b/>
      <w:kern w:val="2"/>
      <w:sz w:val="24"/>
      <w:szCs w:val="28"/>
      <w:lang w:val="en-US" w:eastAsia="zh-CN" w:bidi="ar-SA"/>
    </w:rPr>
  </w:style>
  <w:style w:type="character" w:customStyle="1" w:styleId="93">
    <w:name w:val="批注文字 Char New"/>
    <w:link w:val="94"/>
    <w:qFormat/>
    <w:uiPriority w:val="0"/>
    <w:rPr>
      <w:kern w:val="2"/>
      <w:sz w:val="24"/>
    </w:rPr>
  </w:style>
  <w:style w:type="paragraph" w:customStyle="1" w:styleId="94">
    <w:name w:val="批注文字1"/>
    <w:basedOn w:val="1"/>
    <w:link w:val="93"/>
    <w:qFormat/>
    <w:uiPriority w:val="0"/>
    <w:pPr>
      <w:jc w:val="left"/>
    </w:pPr>
    <w:rPr>
      <w:sz w:val="24"/>
      <w:szCs w:val="20"/>
    </w:rPr>
  </w:style>
  <w:style w:type="character" w:customStyle="1" w:styleId="95">
    <w:name w:val="结束语 Char1"/>
    <w:qFormat/>
    <w:uiPriority w:val="0"/>
    <w:rPr>
      <w:kern w:val="2"/>
      <w:sz w:val="21"/>
      <w:szCs w:val="24"/>
    </w:rPr>
  </w:style>
  <w:style w:type="character" w:customStyle="1" w:styleId="96">
    <w:name w:val="MSG_EN_FONT_STYLE_NAME_TEMPLATE_ROLE MSG_EN_FONT_STYLE_NAME_BY_ROLE_TEXT_"/>
    <w:link w:val="97"/>
    <w:qFormat/>
    <w:uiPriority w:val="0"/>
    <w:rPr>
      <w:rFonts w:ascii="宋体" w:hAnsi="宋体"/>
      <w:sz w:val="19"/>
      <w:szCs w:val="19"/>
      <w:shd w:val="clear" w:color="auto" w:fill="FFFFFF"/>
    </w:rPr>
  </w:style>
  <w:style w:type="paragraph" w:customStyle="1" w:styleId="97">
    <w:name w:val="MSG_EN_FONT_STYLE_NAME_TEMPLATE_ROLE MSG_EN_FONT_STYLE_NAME_BY_ROLE_TEXT"/>
    <w:basedOn w:val="1"/>
    <w:link w:val="96"/>
    <w:qFormat/>
    <w:uiPriority w:val="0"/>
    <w:pPr>
      <w:shd w:val="clear" w:color="auto" w:fill="FFFFFF"/>
      <w:spacing w:before="600" w:line="408" w:lineRule="exact"/>
      <w:ind w:hanging="4700"/>
      <w:jc w:val="distribute"/>
    </w:pPr>
    <w:rPr>
      <w:rFonts w:ascii="宋体" w:hAnsi="宋体"/>
      <w:kern w:val="0"/>
      <w:sz w:val="19"/>
      <w:szCs w:val="19"/>
    </w:rPr>
  </w:style>
  <w:style w:type="character" w:customStyle="1" w:styleId="98">
    <w:name w:val="style6"/>
    <w:qFormat/>
    <w:uiPriority w:val="0"/>
  </w:style>
  <w:style w:type="character" w:customStyle="1" w:styleId="99">
    <w:name w:val="标准文本 Char"/>
    <w:link w:val="100"/>
    <w:qFormat/>
    <w:uiPriority w:val="0"/>
    <w:rPr>
      <w:lang w:val="zh-CN"/>
    </w:rPr>
  </w:style>
  <w:style w:type="paragraph" w:customStyle="1" w:styleId="100">
    <w:name w:val="标准文本"/>
    <w:basedOn w:val="1"/>
    <w:link w:val="99"/>
    <w:qFormat/>
    <w:uiPriority w:val="0"/>
    <w:pPr>
      <w:widowControl/>
      <w:spacing w:beforeLines="50" w:line="360" w:lineRule="auto"/>
      <w:ind w:firstLine="200" w:firstLineChars="200"/>
      <w:jc w:val="left"/>
    </w:pPr>
    <w:rPr>
      <w:kern w:val="0"/>
      <w:sz w:val="20"/>
      <w:szCs w:val="20"/>
      <w:lang w:val="zh-CN"/>
    </w:rPr>
  </w:style>
  <w:style w:type="character" w:customStyle="1" w:styleId="101">
    <w:name w:val="unnamed11"/>
    <w:qFormat/>
    <w:uiPriority w:val="0"/>
    <w:rPr>
      <w:color w:val="000000"/>
      <w:sz w:val="20"/>
      <w:szCs w:val="20"/>
      <w:u w:val="none"/>
    </w:rPr>
  </w:style>
  <w:style w:type="character" w:customStyle="1" w:styleId="102">
    <w:name w:val="style11"/>
    <w:qFormat/>
    <w:uiPriority w:val="0"/>
    <w:rPr>
      <w:b/>
      <w:bCs/>
    </w:rPr>
  </w:style>
  <w:style w:type="character" w:customStyle="1" w:styleId="103">
    <w:name w:val="页眉 Char1"/>
    <w:semiHidden/>
    <w:qFormat/>
    <w:uiPriority w:val="99"/>
    <w:rPr>
      <w:kern w:val="2"/>
      <w:sz w:val="18"/>
      <w:szCs w:val="18"/>
    </w:rPr>
  </w:style>
  <w:style w:type="character" w:customStyle="1" w:styleId="104">
    <w:name w:val="纯文本 Char1"/>
    <w:qFormat/>
    <w:uiPriority w:val="0"/>
    <w:rPr>
      <w:rFonts w:ascii="宋体" w:hAnsi="Courier New" w:eastAsia="宋体" w:cs="Courier New"/>
      <w:kern w:val="2"/>
      <w:sz w:val="21"/>
      <w:szCs w:val="21"/>
      <w:lang w:val="en-US" w:eastAsia="zh-CN" w:bidi="ar-SA"/>
    </w:rPr>
  </w:style>
  <w:style w:type="character" w:customStyle="1" w:styleId="105">
    <w:name w:val="fornff5f011"/>
    <w:qFormat/>
    <w:uiPriority w:val="0"/>
    <w:rPr>
      <w:b/>
      <w:bCs/>
      <w:color w:val="FF5F01"/>
      <w:sz w:val="18"/>
      <w:szCs w:val="18"/>
    </w:rPr>
  </w:style>
  <w:style w:type="character" w:customStyle="1" w:styleId="106">
    <w:name w:val="正文文本 3 Char1"/>
    <w:semiHidden/>
    <w:qFormat/>
    <w:uiPriority w:val="99"/>
    <w:rPr>
      <w:kern w:val="2"/>
      <w:sz w:val="16"/>
      <w:szCs w:val="16"/>
    </w:rPr>
  </w:style>
  <w:style w:type="character" w:customStyle="1" w:styleId="107">
    <w:name w:val="apple-converted-space"/>
    <w:qFormat/>
    <w:uiPriority w:val="0"/>
  </w:style>
  <w:style w:type="character" w:customStyle="1" w:styleId="108">
    <w:name w:val="defaultbold1"/>
    <w:qFormat/>
    <w:uiPriority w:val="0"/>
    <w:rPr>
      <w:rFonts w:hint="default" w:ascii="Arial" w:hAnsi="Arial" w:cs="Arial"/>
      <w:b/>
      <w:bCs/>
      <w:color w:val="000000"/>
      <w:sz w:val="18"/>
      <w:szCs w:val="18"/>
      <w:u w:val="none"/>
    </w:rPr>
  </w:style>
  <w:style w:type="character" w:customStyle="1" w:styleId="109">
    <w:name w:val="纯文本 字符"/>
    <w:qFormat/>
    <w:uiPriority w:val="0"/>
    <w:rPr>
      <w:rFonts w:ascii="宋体" w:hAnsi="Courier New" w:eastAsia="宋体" w:cs="Times New Roman"/>
      <w:kern w:val="2"/>
      <w:sz w:val="21"/>
      <w:szCs w:val="24"/>
      <w:lang w:val="en-US" w:eastAsia="zh-CN" w:bidi="ar-SA"/>
    </w:rPr>
  </w:style>
  <w:style w:type="character" w:customStyle="1" w:styleId="110">
    <w:name w:val="point_normal1"/>
    <w:qFormat/>
    <w:uiPriority w:val="0"/>
    <w:rPr>
      <w:rFonts w:hint="default" w:ascii="Arial" w:hAnsi="Arial" w:cs="Arial"/>
      <w:sz w:val="18"/>
      <w:szCs w:val="18"/>
    </w:rPr>
  </w:style>
  <w:style w:type="character" w:customStyle="1" w:styleId="111">
    <w:name w:val="列出段落 Char"/>
    <w:link w:val="112"/>
    <w:qFormat/>
    <w:uiPriority w:val="34"/>
    <w:rPr>
      <w:kern w:val="2"/>
      <w:sz w:val="21"/>
      <w:szCs w:val="24"/>
    </w:rPr>
  </w:style>
  <w:style w:type="paragraph" w:customStyle="1" w:styleId="112">
    <w:name w:val="列出段落2"/>
    <w:basedOn w:val="1"/>
    <w:link w:val="111"/>
    <w:qFormat/>
    <w:uiPriority w:val="34"/>
    <w:pPr>
      <w:ind w:firstLine="420" w:firstLineChars="200"/>
    </w:pPr>
  </w:style>
  <w:style w:type="character" w:customStyle="1" w:styleId="113">
    <w:name w:val="标题2 字符"/>
    <w:link w:val="114"/>
    <w:qFormat/>
    <w:uiPriority w:val="0"/>
    <w:rPr>
      <w:b/>
      <w:kern w:val="2"/>
      <w:sz w:val="28"/>
      <w:szCs w:val="28"/>
      <w:lang w:val="en-US" w:eastAsia="zh-CN" w:bidi="ar-SA"/>
    </w:rPr>
  </w:style>
  <w:style w:type="paragraph" w:customStyle="1" w:styleId="114">
    <w:name w:val="标题2"/>
    <w:next w:val="1"/>
    <w:link w:val="113"/>
    <w:qFormat/>
    <w:uiPriority w:val="0"/>
    <w:pPr>
      <w:tabs>
        <w:tab w:val="left" w:pos="0"/>
        <w:tab w:val="left" w:pos="704"/>
      </w:tabs>
      <w:snapToGrid w:val="0"/>
      <w:spacing w:before="360" w:line="360" w:lineRule="auto"/>
    </w:pPr>
    <w:rPr>
      <w:rFonts w:ascii="Times New Roman" w:hAnsi="Times New Roman" w:eastAsia="宋体" w:cs="Times New Roman"/>
      <w:b/>
      <w:kern w:val="2"/>
      <w:sz w:val="28"/>
      <w:szCs w:val="28"/>
      <w:lang w:val="en-US" w:eastAsia="zh-CN" w:bidi="ar-SA"/>
    </w:rPr>
  </w:style>
  <w:style w:type="character" w:customStyle="1" w:styleId="115">
    <w:name w:val="ca-41"/>
    <w:qFormat/>
    <w:uiPriority w:val="0"/>
    <w:rPr>
      <w:rFonts w:hint="eastAsia" w:ascii="宋体" w:hAnsi="宋体" w:eastAsia="宋体"/>
      <w:color w:val="000000"/>
      <w:sz w:val="20"/>
      <w:szCs w:val="20"/>
      <w:lang w:val="en-US" w:eastAsia="en-US"/>
    </w:rPr>
  </w:style>
  <w:style w:type="character" w:customStyle="1" w:styleId="116">
    <w:name w:val="blod1"/>
    <w:qFormat/>
    <w:uiPriority w:val="0"/>
    <w:rPr>
      <w:b/>
      <w:bCs/>
      <w:color w:val="008000"/>
      <w:sz w:val="20"/>
      <w:szCs w:val="20"/>
    </w:rPr>
  </w:style>
  <w:style w:type="character" w:customStyle="1" w:styleId="117">
    <w:name w:val="grame"/>
    <w:qFormat/>
    <w:uiPriority w:val="0"/>
  </w:style>
  <w:style w:type="character" w:customStyle="1" w:styleId="118">
    <w:name w:val="正文缩进 Char1"/>
    <w:qFormat/>
    <w:locked/>
    <w:uiPriority w:val="0"/>
    <w:rPr>
      <w:rFonts w:ascii="宋体" w:hAnsi="宋体" w:eastAsia="宋体"/>
      <w:sz w:val="21"/>
      <w:lang w:val="en-US" w:eastAsia="zh-CN" w:bidi="ar-SA"/>
    </w:rPr>
  </w:style>
  <w:style w:type="character" w:customStyle="1" w:styleId="119">
    <w:name w:val="纯文本 Char Char Char Char2"/>
    <w:qFormat/>
    <w:uiPriority w:val="0"/>
    <w:rPr>
      <w:rFonts w:ascii="宋体" w:hAnsi="Courier New"/>
      <w:kern w:val="2"/>
      <w:sz w:val="21"/>
      <w:szCs w:val="24"/>
      <w:lang w:bidi="ar-SA"/>
    </w:rPr>
  </w:style>
  <w:style w:type="character" w:customStyle="1" w:styleId="120">
    <w:name w:val="font31"/>
    <w:qFormat/>
    <w:uiPriority w:val="0"/>
    <w:rPr>
      <w:rFonts w:hint="eastAsia" w:ascii="宋体" w:hAnsi="宋体" w:eastAsia="宋体" w:cs="宋体"/>
      <w:color w:val="000000"/>
      <w:sz w:val="20"/>
      <w:szCs w:val="20"/>
      <w:u w:val="none"/>
    </w:rPr>
  </w:style>
  <w:style w:type="character" w:customStyle="1" w:styleId="121">
    <w:name w:val="style21"/>
    <w:qFormat/>
    <w:uiPriority w:val="0"/>
    <w:rPr>
      <w:sz w:val="18"/>
      <w:szCs w:val="18"/>
    </w:rPr>
  </w:style>
  <w:style w:type="character" w:customStyle="1" w:styleId="122">
    <w:name w:val="style101"/>
    <w:qFormat/>
    <w:uiPriority w:val="0"/>
    <w:rPr>
      <w:rFonts w:hint="default" w:ascii="Arial" w:hAnsi="Arial" w:cs="Arial"/>
    </w:rPr>
  </w:style>
  <w:style w:type="character" w:customStyle="1" w:styleId="123">
    <w:name w:val="标题 字符"/>
    <w:qFormat/>
    <w:locked/>
    <w:uiPriority w:val="0"/>
    <w:rPr>
      <w:rFonts w:ascii="Cambria" w:hAnsi="Cambria"/>
      <w:b/>
      <w:kern w:val="2"/>
      <w:sz w:val="32"/>
    </w:rPr>
  </w:style>
  <w:style w:type="character" w:customStyle="1" w:styleId="124">
    <w:name w:val="内容 字符"/>
    <w:link w:val="125"/>
    <w:qFormat/>
    <w:uiPriority w:val="0"/>
    <w:rPr>
      <w:rFonts w:ascii="宋体" w:hAnsi="宋体"/>
      <w:bCs/>
      <w:kern w:val="2"/>
      <w:sz w:val="28"/>
      <w:szCs w:val="28"/>
    </w:rPr>
  </w:style>
  <w:style w:type="paragraph" w:customStyle="1" w:styleId="125">
    <w:name w:val="内容"/>
    <w:basedOn w:val="1"/>
    <w:link w:val="124"/>
    <w:qFormat/>
    <w:uiPriority w:val="0"/>
    <w:pPr>
      <w:adjustRightInd w:val="0"/>
      <w:snapToGrid w:val="0"/>
      <w:spacing w:beforeLines="50" w:line="360" w:lineRule="auto"/>
      <w:ind w:firstLine="200" w:firstLineChars="200"/>
    </w:pPr>
    <w:rPr>
      <w:rFonts w:ascii="宋体" w:hAnsi="宋体"/>
      <w:bCs/>
      <w:sz w:val="28"/>
      <w:szCs w:val="28"/>
    </w:rPr>
  </w:style>
  <w:style w:type="character" w:customStyle="1" w:styleId="126">
    <w:name w:val="页脚 Char1"/>
    <w:semiHidden/>
    <w:qFormat/>
    <w:uiPriority w:val="99"/>
    <w:rPr>
      <w:kern w:val="2"/>
      <w:sz w:val="18"/>
      <w:szCs w:val="18"/>
    </w:rPr>
  </w:style>
  <w:style w:type="character" w:customStyle="1" w:styleId="127">
    <w:name w:val="font1"/>
    <w:qFormat/>
    <w:uiPriority w:val="0"/>
    <w:rPr>
      <w:color w:val="999999"/>
      <w:sz w:val="18"/>
      <w:szCs w:val="18"/>
      <w:u w:val="none"/>
    </w:rPr>
  </w:style>
  <w:style w:type="character" w:customStyle="1" w:styleId="128">
    <w:name w:val="1 Char"/>
    <w:qFormat/>
    <w:uiPriority w:val="0"/>
    <w:rPr>
      <w:rFonts w:eastAsia="宋体"/>
      <w:b/>
      <w:bCs/>
      <w:kern w:val="44"/>
      <w:sz w:val="44"/>
      <w:szCs w:val="44"/>
      <w:lang w:val="en-US" w:eastAsia="zh-CN" w:bidi="ar-SA"/>
    </w:rPr>
  </w:style>
  <w:style w:type="character" w:customStyle="1" w:styleId="129">
    <w:name w:val="weby11"/>
    <w:qFormat/>
    <w:uiPriority w:val="0"/>
    <w:rPr>
      <w:sz w:val="18"/>
      <w:szCs w:val="18"/>
    </w:rPr>
  </w:style>
  <w:style w:type="character" w:customStyle="1" w:styleId="130">
    <w:name w:val="正文(首行缩进) Char Char"/>
    <w:link w:val="131"/>
    <w:qFormat/>
    <w:uiPriority w:val="0"/>
    <w:rPr>
      <w:rFonts w:ascii="Arial Narrow" w:hAnsi="Arial Narrow"/>
      <w:kern w:val="2"/>
      <w:sz w:val="24"/>
      <w:szCs w:val="24"/>
    </w:rPr>
  </w:style>
  <w:style w:type="paragraph" w:customStyle="1" w:styleId="131">
    <w:name w:val="正文(首行缩进)"/>
    <w:basedOn w:val="1"/>
    <w:link w:val="130"/>
    <w:qFormat/>
    <w:uiPriority w:val="0"/>
    <w:pPr>
      <w:spacing w:line="360" w:lineRule="auto"/>
      <w:ind w:firstLine="200" w:firstLineChars="200"/>
    </w:pPr>
    <w:rPr>
      <w:rFonts w:ascii="Arial Narrow" w:hAnsi="Arial Narrow"/>
      <w:sz w:val="24"/>
    </w:rPr>
  </w:style>
  <w:style w:type="character" w:customStyle="1" w:styleId="132">
    <w:name w:val="标题 Char1"/>
    <w:qFormat/>
    <w:uiPriority w:val="10"/>
    <w:rPr>
      <w:rFonts w:ascii="Cambria" w:hAnsi="Cambria" w:cs="Times New Roman"/>
      <w:b/>
      <w:bCs/>
      <w:kern w:val="2"/>
      <w:sz w:val="32"/>
      <w:szCs w:val="32"/>
    </w:rPr>
  </w:style>
  <w:style w:type="character" w:customStyle="1" w:styleId="133">
    <w:name w:val="正文文本缩进 2 Char1"/>
    <w:semiHidden/>
    <w:qFormat/>
    <w:uiPriority w:val="99"/>
    <w:rPr>
      <w:kern w:val="2"/>
      <w:sz w:val="21"/>
      <w:szCs w:val="24"/>
    </w:rPr>
  </w:style>
  <w:style w:type="character" w:customStyle="1" w:styleId="134">
    <w:name w:val="Char Char4"/>
    <w:qFormat/>
    <w:uiPriority w:val="0"/>
    <w:rPr>
      <w:rFonts w:eastAsia="宋体"/>
      <w:kern w:val="2"/>
      <w:sz w:val="18"/>
      <w:szCs w:val="18"/>
      <w:lang w:val="en-US" w:eastAsia="zh-CN" w:bidi="ar-SA"/>
    </w:rPr>
  </w:style>
  <w:style w:type="character" w:customStyle="1" w:styleId="135">
    <w:name w:val="unnamed1"/>
    <w:qFormat/>
    <w:uiPriority w:val="0"/>
  </w:style>
  <w:style w:type="character" w:customStyle="1" w:styleId="136">
    <w:name w:val="批注主题 Char1"/>
    <w:semiHidden/>
    <w:qFormat/>
    <w:uiPriority w:val="99"/>
    <w:rPr>
      <w:b/>
      <w:bCs/>
      <w:kern w:val="2"/>
      <w:sz w:val="21"/>
      <w:szCs w:val="24"/>
    </w:rPr>
  </w:style>
  <w:style w:type="character" w:customStyle="1" w:styleId="137">
    <w:name w:val="文档结构图 Char1"/>
    <w:semiHidden/>
    <w:qFormat/>
    <w:uiPriority w:val="99"/>
    <w:rPr>
      <w:rFonts w:ascii="宋体"/>
      <w:kern w:val="2"/>
      <w:sz w:val="18"/>
      <w:szCs w:val="18"/>
    </w:rPr>
  </w:style>
  <w:style w:type="character" w:customStyle="1" w:styleId="138">
    <w:name w:val="a81"/>
    <w:qFormat/>
    <w:uiPriority w:val="0"/>
    <w:rPr>
      <w:color w:val="000000"/>
      <w:sz w:val="20"/>
      <w:szCs w:val="20"/>
      <w:u w:val="none"/>
    </w:rPr>
  </w:style>
  <w:style w:type="character" w:customStyle="1" w:styleId="139">
    <w:name w:val="正文首行缩进 Char1"/>
    <w:semiHidden/>
    <w:qFormat/>
    <w:uiPriority w:val="99"/>
  </w:style>
  <w:style w:type="character" w:customStyle="1" w:styleId="140">
    <w:name w:val="正文文本 Char1"/>
    <w:semiHidden/>
    <w:qFormat/>
    <w:uiPriority w:val="99"/>
    <w:rPr>
      <w:kern w:val="2"/>
      <w:sz w:val="21"/>
      <w:szCs w:val="24"/>
    </w:rPr>
  </w:style>
  <w:style w:type="character" w:customStyle="1" w:styleId="141">
    <w:name w:val="标题 2 Char"/>
    <w:qFormat/>
    <w:uiPriority w:val="0"/>
    <w:rPr>
      <w:rFonts w:ascii="Arial" w:hAnsi="Arial" w:eastAsia="黑体"/>
      <w:b/>
      <w:bCs/>
      <w:kern w:val="2"/>
      <w:sz w:val="32"/>
      <w:szCs w:val="32"/>
      <w:lang w:val="en-US" w:eastAsia="zh-CN" w:bidi="ar-SA"/>
    </w:rPr>
  </w:style>
  <w:style w:type="character" w:customStyle="1" w:styleId="142">
    <w:name w:val="blue"/>
    <w:qFormat/>
    <w:uiPriority w:val="0"/>
  </w:style>
  <w:style w:type="character" w:customStyle="1" w:styleId="143">
    <w:name w:val="正文文本缩进 Char1"/>
    <w:semiHidden/>
    <w:qFormat/>
    <w:uiPriority w:val="99"/>
    <w:rPr>
      <w:kern w:val="2"/>
      <w:sz w:val="21"/>
      <w:szCs w:val="24"/>
    </w:rPr>
  </w:style>
  <w:style w:type="character" w:customStyle="1" w:styleId="144">
    <w:name w:val="HTML 预设格式 Char1"/>
    <w:semiHidden/>
    <w:qFormat/>
    <w:uiPriority w:val="99"/>
    <w:rPr>
      <w:rFonts w:ascii="Courier New" w:hAnsi="Courier New" w:cs="Courier New"/>
      <w:kern w:val="2"/>
    </w:rPr>
  </w:style>
  <w:style w:type="character" w:customStyle="1" w:styleId="145">
    <w:name w:val="Anrede1IhrZeichen"/>
    <w:qFormat/>
    <w:uiPriority w:val="0"/>
    <w:rPr>
      <w:rFonts w:ascii="Arial" w:hAnsi="Arial"/>
      <w:sz w:val="20"/>
    </w:rPr>
  </w:style>
  <w:style w:type="character" w:customStyle="1" w:styleId="146">
    <w:name w:val="H-TextFormat Char"/>
    <w:link w:val="147"/>
    <w:qFormat/>
    <w:uiPriority w:val="0"/>
    <w:rPr>
      <w:rFonts w:ascii="Arial" w:hAnsi="Arial"/>
      <w:sz w:val="22"/>
      <w:szCs w:val="22"/>
      <w:lang w:val="en-US" w:eastAsia="en-US" w:bidi="ar-SA"/>
    </w:rPr>
  </w:style>
  <w:style w:type="paragraph" w:customStyle="1" w:styleId="147">
    <w:name w:val="H-TextFormat"/>
    <w:link w:val="146"/>
    <w:qFormat/>
    <w:uiPriority w:val="0"/>
    <w:pPr>
      <w:autoSpaceDE w:val="0"/>
      <w:autoSpaceDN w:val="0"/>
      <w:adjustRightInd w:val="0"/>
    </w:pPr>
    <w:rPr>
      <w:rFonts w:ascii="Arial" w:hAnsi="Arial" w:eastAsia="宋体" w:cs="Times New Roman"/>
      <w:sz w:val="22"/>
      <w:szCs w:val="22"/>
      <w:lang w:val="en-US" w:eastAsia="en-US" w:bidi="ar-SA"/>
    </w:rPr>
  </w:style>
  <w:style w:type="character" w:customStyle="1" w:styleId="148">
    <w:name w:val="sz8pt"/>
    <w:qFormat/>
    <w:uiPriority w:val="0"/>
    <w:rPr>
      <w:sz w:val="16"/>
      <w:szCs w:val="16"/>
    </w:rPr>
  </w:style>
  <w:style w:type="character" w:customStyle="1" w:styleId="149">
    <w:name w:val="v151"/>
    <w:qFormat/>
    <w:uiPriority w:val="0"/>
    <w:rPr>
      <w:sz w:val="18"/>
      <w:szCs w:val="18"/>
    </w:rPr>
  </w:style>
  <w:style w:type="character" w:customStyle="1" w:styleId="150">
    <w:name w:val="_Style 147"/>
    <w:unhideWhenUsed/>
    <w:qFormat/>
    <w:uiPriority w:val="99"/>
    <w:rPr>
      <w:color w:val="808080"/>
      <w:shd w:val="clear" w:color="auto" w:fill="E6E6E6"/>
    </w:rPr>
  </w:style>
  <w:style w:type="character" w:customStyle="1" w:styleId="151">
    <w:name w:val="wf"/>
    <w:qFormat/>
    <w:uiPriority w:val="0"/>
  </w:style>
  <w:style w:type="character" w:customStyle="1" w:styleId="152">
    <w:name w:val="本文正文 Char1 Char Char Char Char Char Char Char Char Char Char Char Char Char Char Char Char Char Char Char Char Char Char Char Char Char Char"/>
    <w:link w:val="153"/>
    <w:qFormat/>
    <w:uiPriority w:val="0"/>
    <w:rPr>
      <w:rFonts w:ascii="宋体" w:hAnsi="宋体"/>
      <w:sz w:val="24"/>
      <w:szCs w:val="24"/>
    </w:rPr>
  </w:style>
  <w:style w:type="paragraph" w:customStyle="1" w:styleId="153">
    <w:name w:val="本文正文 Char1 Char Char Char Char Char Char Char Char Char Char Char Char Char Char Char Char Char Char Char Char Char Char Char Char"/>
    <w:basedOn w:val="1"/>
    <w:link w:val="152"/>
    <w:qFormat/>
    <w:uiPriority w:val="0"/>
    <w:pPr>
      <w:widowControl/>
      <w:spacing w:line="480" w:lineRule="exact"/>
      <w:ind w:firstLine="200" w:firstLineChars="200"/>
      <w:jc w:val="left"/>
    </w:pPr>
    <w:rPr>
      <w:rFonts w:ascii="宋体" w:hAnsi="宋体"/>
      <w:kern w:val="0"/>
      <w:sz w:val="24"/>
    </w:rPr>
  </w:style>
  <w:style w:type="character" w:customStyle="1" w:styleId="154">
    <w:name w:val="正文缩进 Char Char Char"/>
    <w:qFormat/>
    <w:uiPriority w:val="0"/>
    <w:rPr>
      <w:rFonts w:eastAsia="宋体"/>
      <w:kern w:val="2"/>
      <w:sz w:val="21"/>
      <w:szCs w:val="24"/>
      <w:lang w:val="en-US" w:eastAsia="zh-CN" w:bidi="ar-SA"/>
    </w:rPr>
  </w:style>
  <w:style w:type="character" w:customStyle="1" w:styleId="155">
    <w:name w:val="批注文字 Char2"/>
    <w:qFormat/>
    <w:uiPriority w:val="0"/>
    <w:rPr>
      <w:kern w:val="2"/>
      <w:sz w:val="21"/>
      <w:szCs w:val="24"/>
    </w:rPr>
  </w:style>
  <w:style w:type="character" w:customStyle="1" w:styleId="156">
    <w:name w:val="日期 Char1"/>
    <w:semiHidden/>
    <w:qFormat/>
    <w:uiPriority w:val="99"/>
    <w:rPr>
      <w:kern w:val="2"/>
      <w:sz w:val="21"/>
      <w:szCs w:val="24"/>
    </w:rPr>
  </w:style>
  <w:style w:type="character" w:customStyle="1" w:styleId="157">
    <w:name w:val="e1"/>
    <w:qFormat/>
    <w:uiPriority w:val="0"/>
    <w:rPr>
      <w:rFonts w:hint="default" w:ascii="Arial" w:hAnsi="Arial" w:cs="Arial"/>
      <w:sz w:val="17"/>
      <w:szCs w:val="17"/>
    </w:rPr>
  </w:style>
  <w:style w:type="character" w:customStyle="1" w:styleId="158">
    <w:name w:val="批注文字 Char1"/>
    <w:semiHidden/>
    <w:qFormat/>
    <w:uiPriority w:val="99"/>
    <w:rPr>
      <w:kern w:val="2"/>
      <w:sz w:val="21"/>
      <w:szCs w:val="24"/>
    </w:rPr>
  </w:style>
  <w:style w:type="character" w:customStyle="1" w:styleId="159">
    <w:name w:val="标题 3 Char Char Char Char"/>
    <w:qFormat/>
    <w:uiPriority w:val="0"/>
    <w:rPr>
      <w:rFonts w:ascii="宋体" w:hAnsi="宋体"/>
    </w:rPr>
  </w:style>
  <w:style w:type="character" w:customStyle="1" w:styleId="160">
    <w:name w:val="正文缩进 字符"/>
    <w:qFormat/>
    <w:uiPriority w:val="0"/>
    <w:rPr>
      <w:rFonts w:eastAsia="宋体"/>
      <w:kern w:val="2"/>
      <w:sz w:val="21"/>
      <w:lang w:val="en-US" w:eastAsia="zh-CN" w:bidi="ar-SA"/>
    </w:rPr>
  </w:style>
  <w:style w:type="character" w:customStyle="1" w:styleId="161">
    <w:name w:val="point_small1"/>
    <w:qFormat/>
    <w:uiPriority w:val="0"/>
    <w:rPr>
      <w:rFonts w:hint="default" w:ascii="Arial" w:hAnsi="Arial" w:cs="Arial"/>
      <w:sz w:val="18"/>
      <w:szCs w:val="18"/>
    </w:rPr>
  </w:style>
  <w:style w:type="character" w:customStyle="1" w:styleId="162">
    <w:name w:val="无间隔 字符"/>
    <w:link w:val="163"/>
    <w:qFormat/>
    <w:uiPriority w:val="1"/>
    <w:rPr>
      <w:rFonts w:ascii="Calibri" w:hAnsi="Calibri"/>
      <w:sz w:val="22"/>
      <w:szCs w:val="22"/>
      <w:lang w:val="en-US" w:eastAsia="zh-CN" w:bidi="ar-SA"/>
    </w:rPr>
  </w:style>
  <w:style w:type="paragraph" w:styleId="163">
    <w:name w:val="No Spacing"/>
    <w:link w:val="162"/>
    <w:qFormat/>
    <w:uiPriority w:val="1"/>
    <w:rPr>
      <w:rFonts w:ascii="Calibri" w:hAnsi="Calibri" w:eastAsia="宋体" w:cs="Times New Roman"/>
      <w:sz w:val="22"/>
      <w:szCs w:val="22"/>
      <w:lang w:val="en-US" w:eastAsia="zh-CN" w:bidi="ar-SA"/>
    </w:rPr>
  </w:style>
  <w:style w:type="character" w:customStyle="1" w:styleId="164">
    <w:name w:val="批注框文本 Char1"/>
    <w:semiHidden/>
    <w:qFormat/>
    <w:uiPriority w:val="99"/>
    <w:rPr>
      <w:kern w:val="2"/>
      <w:sz w:val="18"/>
      <w:szCs w:val="18"/>
    </w:rPr>
  </w:style>
  <w:style w:type="character" w:customStyle="1" w:styleId="165">
    <w:name w:val="style121"/>
    <w:qFormat/>
    <w:uiPriority w:val="0"/>
  </w:style>
  <w:style w:type="character" w:customStyle="1" w:styleId="166">
    <w:name w:val="标题 1 Char1"/>
    <w:qFormat/>
    <w:uiPriority w:val="0"/>
    <w:rPr>
      <w:rFonts w:ascii="Times New Roman" w:hAnsi="Times New Roman" w:eastAsia="黑体"/>
      <w:b/>
      <w:kern w:val="44"/>
      <w:sz w:val="30"/>
    </w:rPr>
  </w:style>
  <w:style w:type="character" w:customStyle="1" w:styleId="167">
    <w:name w:val="Font Style17"/>
    <w:qFormat/>
    <w:uiPriority w:val="0"/>
    <w:rPr>
      <w:rFonts w:ascii="黑体" w:eastAsia="黑体" w:cs="黑体"/>
      <w:sz w:val="28"/>
      <w:szCs w:val="28"/>
    </w:rPr>
  </w:style>
  <w:style w:type="character" w:customStyle="1" w:styleId="168">
    <w:name w:val="MSG_EN_FONT_STYLE_NAME_TEMPLATE_ROLE_NUMBER MSG_EN_FONT_STYLE_NAME_BY_ROLE_TEXT 4_"/>
    <w:link w:val="169"/>
    <w:qFormat/>
    <w:uiPriority w:val="99"/>
    <w:rPr>
      <w:rFonts w:ascii="宋体" w:hAnsi="宋体"/>
      <w:sz w:val="19"/>
      <w:szCs w:val="19"/>
      <w:shd w:val="clear" w:color="auto" w:fill="FFFFFF"/>
    </w:rPr>
  </w:style>
  <w:style w:type="paragraph" w:customStyle="1" w:styleId="169">
    <w:name w:val="MSG_EN_FONT_STYLE_NAME_TEMPLATE_ROLE_NUMBER MSG_EN_FONT_STYLE_NAME_BY_ROLE_TEXT 4"/>
    <w:basedOn w:val="1"/>
    <w:link w:val="168"/>
    <w:qFormat/>
    <w:uiPriority w:val="99"/>
    <w:pPr>
      <w:shd w:val="clear" w:color="auto" w:fill="FFFFFF"/>
      <w:spacing w:before="3900" w:line="398" w:lineRule="exact"/>
      <w:ind w:hanging="840"/>
      <w:jc w:val="center"/>
    </w:pPr>
    <w:rPr>
      <w:rFonts w:ascii="宋体" w:hAnsi="宋体"/>
      <w:kern w:val="0"/>
      <w:sz w:val="19"/>
      <w:szCs w:val="19"/>
    </w:rPr>
  </w:style>
  <w:style w:type="character" w:customStyle="1" w:styleId="170">
    <w:name w:val="正文文本 2 Char1"/>
    <w:semiHidden/>
    <w:qFormat/>
    <w:uiPriority w:val="99"/>
    <w:rPr>
      <w:kern w:val="2"/>
      <w:sz w:val="21"/>
      <w:szCs w:val="24"/>
    </w:rPr>
  </w:style>
  <w:style w:type="character" w:customStyle="1" w:styleId="171">
    <w:name w:val="纯文本 Char2"/>
    <w:qFormat/>
    <w:uiPriority w:val="0"/>
    <w:rPr>
      <w:rFonts w:ascii="宋体" w:hAnsi="Courier New" w:eastAsia="宋体" w:cs="Courier New"/>
      <w:kern w:val="2"/>
      <w:sz w:val="21"/>
      <w:szCs w:val="21"/>
      <w:lang w:val="en-US" w:eastAsia="zh-CN" w:bidi="ar-SA"/>
    </w:rPr>
  </w:style>
  <w:style w:type="character" w:customStyle="1" w:styleId="172">
    <w:name w:val="point_normal"/>
    <w:qFormat/>
    <w:uiPriority w:val="0"/>
  </w:style>
  <w:style w:type="character" w:customStyle="1" w:styleId="173">
    <w:name w:val="para"/>
    <w:qFormat/>
    <w:uiPriority w:val="0"/>
  </w:style>
  <w:style w:type="paragraph" w:customStyle="1" w:styleId="174">
    <w:name w:val="font1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7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7">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178">
    <w:name w:val="样式 首行缩进:  2 字符1"/>
    <w:basedOn w:val="1"/>
    <w:qFormat/>
    <w:uiPriority w:val="0"/>
    <w:pPr>
      <w:spacing w:line="360" w:lineRule="auto"/>
      <w:ind w:firstLine="480" w:firstLineChars="200"/>
    </w:pPr>
    <w:rPr>
      <w:rFonts w:ascii="宋体"/>
      <w:sz w:val="24"/>
      <w:lang w:val="en-GB"/>
    </w:rPr>
  </w:style>
  <w:style w:type="paragraph" w:customStyle="1" w:styleId="179">
    <w:name w:val="Char3"/>
    <w:basedOn w:val="1"/>
    <w:qFormat/>
    <w:uiPriority w:val="0"/>
    <w:pPr>
      <w:widowControl/>
      <w:spacing w:line="400" w:lineRule="exact"/>
      <w:jc w:val="center"/>
    </w:pPr>
    <w:rPr>
      <w:rFonts w:ascii="Verdana" w:hAnsi="Verdana"/>
      <w:kern w:val="0"/>
      <w:szCs w:val="20"/>
      <w:lang w:eastAsia="en-US"/>
    </w:rPr>
  </w:style>
  <w:style w:type="paragraph" w:customStyle="1" w:styleId="180">
    <w:name w:val="样式 标题 2H2h2Underrubrik1prop2标题 1.1Heading 2 HiddenHeading..."/>
    <w:basedOn w:val="3"/>
    <w:qFormat/>
    <w:uiPriority w:val="0"/>
    <w:pPr>
      <w:spacing w:line="240" w:lineRule="auto"/>
    </w:pPr>
    <w:rPr>
      <w:rFonts w:eastAsia="宋体"/>
      <w:szCs w:val="20"/>
    </w:rPr>
  </w:style>
  <w:style w:type="paragraph" w:customStyle="1" w:styleId="181">
    <w:name w:val="_Style 16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84">
    <w:name w:val="编号2"/>
    <w:basedOn w:val="1"/>
    <w:qFormat/>
    <w:uiPriority w:val="0"/>
    <w:pPr>
      <w:tabs>
        <w:tab w:val="left" w:pos="360"/>
      </w:tabs>
      <w:spacing w:line="360" w:lineRule="auto"/>
    </w:pPr>
    <w:rPr>
      <w:szCs w:val="20"/>
    </w:rPr>
  </w:style>
  <w:style w:type="paragraph" w:customStyle="1" w:styleId="18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86">
    <w:name w:val="Char Char2 Char"/>
    <w:basedOn w:val="1"/>
    <w:qFormat/>
    <w:uiPriority w:val="0"/>
    <w:rPr>
      <w:rFonts w:ascii="宋体" w:hAnsi="宋体"/>
      <w:b/>
      <w:sz w:val="28"/>
      <w:szCs w:val="28"/>
    </w:rPr>
  </w:style>
  <w:style w:type="paragraph" w:customStyle="1" w:styleId="187">
    <w:name w:val="newsbodym"/>
    <w:basedOn w:val="1"/>
    <w:qFormat/>
    <w:uiPriority w:val="0"/>
    <w:pPr>
      <w:widowControl/>
      <w:spacing w:before="100" w:beforeAutospacing="1" w:after="100" w:afterAutospacing="1" w:line="330" w:lineRule="atLeast"/>
      <w:jc w:val="left"/>
    </w:pPr>
    <w:rPr>
      <w:rFonts w:ascii="宋体" w:hAnsi="宋体" w:cs="宋体"/>
      <w:color w:val="000000"/>
      <w:kern w:val="0"/>
      <w:szCs w:val="21"/>
    </w:rPr>
  </w:style>
  <w:style w:type="paragraph" w:customStyle="1" w:styleId="188">
    <w:name w:val="Char2 Char Char Char1 Char Char Char Char Char Char Char Char Char Char Char Char Char Char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9">
    <w:name w:val="reader-word-layer reader-word-s1-44"/>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列表段落1"/>
    <w:basedOn w:val="1"/>
    <w:link w:val="191"/>
    <w:qFormat/>
    <w:uiPriority w:val="34"/>
    <w:pPr>
      <w:ind w:firstLine="420" w:firstLineChars="200"/>
    </w:pPr>
    <w:rPr>
      <w:szCs w:val="22"/>
    </w:rPr>
  </w:style>
  <w:style w:type="character" w:customStyle="1" w:styleId="191">
    <w:name w:val="列表段落 字符"/>
    <w:link w:val="190"/>
    <w:qFormat/>
    <w:uiPriority w:val="34"/>
    <w:rPr>
      <w:kern w:val="2"/>
      <w:sz w:val="21"/>
      <w:szCs w:val="22"/>
    </w:rPr>
  </w:style>
  <w:style w:type="paragraph" w:customStyle="1" w:styleId="1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93">
    <w:name w:val="Char2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5">
    <w:name w:val="_Style 167"/>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表"/>
    <w:basedOn w:val="1"/>
    <w:qFormat/>
    <w:uiPriority w:val="0"/>
    <w:pPr>
      <w:spacing w:line="360" w:lineRule="auto"/>
      <w:jc w:val="center"/>
    </w:pPr>
    <w:rPr>
      <w:rFonts w:ascii="宋体" w:hAnsi="宋体"/>
      <w:b/>
      <w:bCs/>
      <w:szCs w:val="20"/>
    </w:rPr>
  </w:style>
  <w:style w:type="paragraph" w:customStyle="1" w:styleId="197">
    <w:name w:val="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98">
    <w:name w:val="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Char Char1 Char Char Char Char Char Char Char Char Char Char Char Char Char Char"/>
    <w:basedOn w:val="1"/>
    <w:qFormat/>
    <w:uiPriority w:val="0"/>
    <w:pPr>
      <w:widowControl/>
      <w:spacing w:after="160" w:line="240" w:lineRule="exact"/>
      <w:jc w:val="left"/>
    </w:pPr>
    <w:rPr>
      <w:szCs w:val="20"/>
    </w:rPr>
  </w:style>
  <w:style w:type="paragraph" w:customStyle="1" w:styleId="201">
    <w:name w:val="正文_16_2"/>
    <w:basedOn w:val="202"/>
    <w:qFormat/>
    <w:uiPriority w:val="0"/>
    <w:rPr>
      <w:rFonts w:ascii="Times New Roman" w:hAnsi="Times New Roman"/>
      <w:szCs w:val="21"/>
    </w:rPr>
  </w:style>
  <w:style w:type="paragraph" w:customStyle="1" w:styleId="202">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Char1"/>
    <w:basedOn w:val="1"/>
    <w:qFormat/>
    <w:uiPriority w:val="0"/>
    <w:pPr>
      <w:widowControl/>
      <w:spacing w:after="160" w:line="240" w:lineRule="exact"/>
      <w:jc w:val="left"/>
    </w:pPr>
    <w:rPr>
      <w:rFonts w:ascii="Verdana" w:hAnsi="Verdana"/>
      <w:kern w:val="0"/>
      <w:szCs w:val="20"/>
      <w:lang w:eastAsia="en-US"/>
    </w:rPr>
  </w:style>
  <w:style w:type="paragraph" w:customStyle="1" w:styleId="204">
    <w:name w:val="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05">
    <w:name w:val="Char Char Char Char"/>
    <w:basedOn w:val="1"/>
    <w:qFormat/>
    <w:uiPriority w:val="0"/>
    <w:pPr>
      <w:widowControl/>
      <w:spacing w:after="160" w:line="240" w:lineRule="exact"/>
      <w:jc w:val="left"/>
    </w:pPr>
    <w:rPr>
      <w:rFonts w:ascii="Verdana" w:hAnsi="Verdana" w:eastAsia="楷体_GB2312" w:cs="Verdana"/>
      <w:b/>
      <w:bCs/>
      <w:i/>
      <w:iCs/>
      <w:color w:val="000000"/>
      <w:kern w:val="0"/>
      <w:sz w:val="20"/>
      <w:szCs w:val="20"/>
      <w:lang w:eastAsia="en-US"/>
    </w:rPr>
  </w:style>
  <w:style w:type="paragraph" w:customStyle="1" w:styleId="206">
    <w:name w:val="0"/>
    <w:basedOn w:val="1"/>
    <w:qFormat/>
    <w:uiPriority w:val="0"/>
    <w:pPr>
      <w:widowControl/>
      <w:snapToGrid w:val="0"/>
    </w:pPr>
    <w:rPr>
      <w:rFonts w:eastAsia="Arial Unicode MS"/>
      <w:kern w:val="0"/>
      <w:szCs w:val="21"/>
    </w:rPr>
  </w:style>
  <w:style w:type="paragraph" w:customStyle="1" w:styleId="207">
    <w:name w:val="(标书)正文 Char"/>
    <w:basedOn w:val="1"/>
    <w:qFormat/>
    <w:uiPriority w:val="0"/>
    <w:pPr>
      <w:spacing w:line="480" w:lineRule="auto"/>
      <w:ind w:firstLine="522"/>
      <w:jc w:val="left"/>
    </w:pPr>
    <w:rPr>
      <w:spacing w:val="10"/>
      <w:kern w:val="0"/>
      <w:sz w:val="24"/>
    </w:rPr>
  </w:style>
  <w:style w:type="paragraph" w:customStyle="1" w:styleId="208">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209">
    <w:name w:val="Char Char1"/>
    <w:basedOn w:val="1"/>
    <w:qFormat/>
    <w:uiPriority w:val="0"/>
    <w:rPr>
      <w:rFonts w:ascii="宋体" w:hAnsi="宋体"/>
      <w:b/>
      <w:sz w:val="28"/>
      <w:szCs w:val="28"/>
    </w:rPr>
  </w:style>
  <w:style w:type="paragraph" w:customStyle="1" w:styleId="210">
    <w:name w:val="Char1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11">
    <w:name w:val="Char1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12">
    <w:name w:val="Char2 Char Char Char1 Char Char Char Char Char Char Char Char Char Char Char Char Char Char1 Char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213">
    <w:name w:val="样式 标题 3h3H33l3CTLevel 3 Headlevel_3PIM 3sect1.2.3标题 3 ..."/>
    <w:basedOn w:val="5"/>
    <w:qFormat/>
    <w:uiPriority w:val="0"/>
    <w:pPr>
      <w:adjustRightInd w:val="0"/>
      <w:spacing w:before="0" w:after="0" w:line="360" w:lineRule="auto"/>
      <w:ind w:right="-848" w:rightChars="-404" w:firstLine="420" w:firstLineChars="199"/>
      <w:textAlignment w:val="baseline"/>
    </w:pPr>
    <w:rPr>
      <w:rFonts w:ascii="宋体" w:hAnsi="宋体"/>
      <w:color w:val="000000"/>
      <w:kern w:val="0"/>
      <w:sz w:val="21"/>
      <w:szCs w:val="20"/>
    </w:rPr>
  </w:style>
  <w:style w:type="paragraph" w:customStyle="1" w:styleId="214">
    <w:name w:val="办公自动化专用标题"/>
    <w:basedOn w:val="46"/>
    <w:qFormat/>
    <w:uiPriority w:val="0"/>
    <w:pPr>
      <w:spacing w:line="560" w:lineRule="atLeast"/>
    </w:pPr>
    <w:rPr>
      <w:rFonts w:ascii="宋体"/>
      <w:bCs w:val="0"/>
      <w:sz w:val="44"/>
      <w:szCs w:val="20"/>
    </w:rPr>
  </w:style>
  <w:style w:type="paragraph" w:customStyle="1" w:styleId="215">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rPr>
  </w:style>
  <w:style w:type="paragraph" w:customStyle="1" w:styleId="216">
    <w:name w:val="D标4"/>
    <w:basedOn w:val="1"/>
    <w:next w:val="217"/>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217">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218">
    <w:name w:val="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1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20">
    <w:name w:val="正文2"/>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1">
    <w:name w:val="xl3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b/>
      <w:bCs/>
      <w:kern w:val="0"/>
      <w:sz w:val="24"/>
    </w:rPr>
  </w:style>
  <w:style w:type="paragraph" w:customStyle="1" w:styleId="222">
    <w:name w:val="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4">
    <w:name w:val="D标3"/>
    <w:basedOn w:val="5"/>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bCs w:val="0"/>
      <w:kern w:val="0"/>
      <w:sz w:val="24"/>
      <w:szCs w:val="20"/>
    </w:rPr>
  </w:style>
  <w:style w:type="paragraph" w:customStyle="1" w:styleId="225">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26">
    <w:name w:val="Char1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228">
    <w:name w:val="正文缩进1"/>
    <w:basedOn w:val="1"/>
    <w:qFormat/>
    <w:uiPriority w:val="0"/>
    <w:pPr>
      <w:ind w:firstLine="420" w:firstLineChars="200"/>
    </w:pPr>
    <w:rPr>
      <w:rFonts w:hint="eastAsia"/>
      <w:szCs w:val="20"/>
    </w:rPr>
  </w:style>
  <w:style w:type="paragraph" w:customStyle="1" w:styleId="22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0">
    <w:name w:val="a"/>
    <w:basedOn w:val="1"/>
    <w:qFormat/>
    <w:uiPriority w:val="0"/>
    <w:pPr>
      <w:widowControl/>
      <w:spacing w:before="100" w:beforeAutospacing="1" w:after="100" w:afterAutospacing="1" w:line="270" w:lineRule="atLeast"/>
      <w:jc w:val="left"/>
    </w:pPr>
    <w:rPr>
      <w:rFonts w:ascii="宋体" w:hAnsi="宋体"/>
      <w:kern w:val="0"/>
      <w:sz w:val="24"/>
      <w:szCs w:val="20"/>
    </w:rPr>
  </w:style>
  <w:style w:type="paragraph" w:customStyle="1" w:styleId="231">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3">
    <w:name w:val="普通文字"/>
    <w:basedOn w:val="1"/>
    <w:qFormat/>
    <w:uiPriority w:val="0"/>
    <w:pPr>
      <w:widowControl/>
      <w:spacing w:line="351" w:lineRule="atLeast"/>
      <w:ind w:firstLine="419"/>
      <w:textAlignment w:val="baseline"/>
    </w:pPr>
    <w:rPr>
      <w:rFonts w:ascii="宋体"/>
      <w:color w:val="000000"/>
      <w:kern w:val="0"/>
      <w:szCs w:val="20"/>
    </w:rPr>
  </w:style>
  <w:style w:type="paragraph" w:customStyle="1" w:styleId="234">
    <w:name w:val="Char4"/>
    <w:basedOn w:val="1"/>
    <w:qFormat/>
    <w:uiPriority w:val="0"/>
    <w:pPr>
      <w:widowControl/>
      <w:spacing w:after="160" w:line="240" w:lineRule="exact"/>
      <w:jc w:val="left"/>
    </w:pPr>
    <w:rPr>
      <w:rFonts w:ascii="Verdana" w:hAnsi="Verdana"/>
      <w:kern w:val="0"/>
      <w:szCs w:val="20"/>
      <w:lang w:eastAsia="en-US"/>
    </w:rPr>
  </w:style>
  <w:style w:type="paragraph" w:customStyle="1" w:styleId="235">
    <w:name w:val="HZY表格正文"/>
    <w:qFormat/>
    <w:uiPriority w:val="0"/>
    <w:pPr>
      <w:spacing w:line="400" w:lineRule="exact"/>
    </w:pPr>
    <w:rPr>
      <w:rFonts w:ascii="Times New Roman" w:hAnsi="Times New Roman" w:eastAsia="宋体" w:cs="Times New Roman"/>
      <w:kern w:val="2"/>
      <w:sz w:val="21"/>
      <w:szCs w:val="21"/>
      <w:lang w:val="en-US" w:eastAsia="zh-CN" w:bidi="ar-SA"/>
    </w:rPr>
  </w:style>
  <w:style w:type="paragraph" w:customStyle="1" w:styleId="236">
    <w:name w:val="_Style 233"/>
    <w:semiHidden/>
    <w:qFormat/>
    <w:uiPriority w:val="99"/>
    <w:rPr>
      <w:rFonts w:ascii="Times New Roman" w:hAnsi="Times New Roman" w:eastAsia="宋体" w:cs="Times New Roman"/>
      <w:kern w:val="2"/>
      <w:sz w:val="21"/>
      <w:szCs w:val="24"/>
      <w:lang w:val="en-US" w:eastAsia="zh-CN" w:bidi="ar-SA"/>
    </w:rPr>
  </w:style>
  <w:style w:type="paragraph" w:customStyle="1" w:styleId="237">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39">
    <w:name w:val="Char Char1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Char1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
    <w:name w:val="1"/>
    <w:basedOn w:val="1"/>
    <w:next w:val="28"/>
    <w:qFormat/>
    <w:uiPriority w:val="0"/>
    <w:rPr>
      <w:rFonts w:ascii="宋体" w:hAnsi="Courier New" w:cs="宋体"/>
      <w:szCs w:val="21"/>
    </w:rPr>
  </w:style>
  <w:style w:type="paragraph" w:customStyle="1" w:styleId="242">
    <w:name w:val="D标2"/>
    <w:basedOn w:val="3"/>
    <w:qFormat/>
    <w:uiPriority w:val="0"/>
    <w:pPr>
      <w:keepLines w:val="0"/>
      <w:widowControl/>
      <w:tabs>
        <w:tab w:val="left" w:pos="420"/>
      </w:tabs>
      <w:autoSpaceDE w:val="0"/>
      <w:autoSpaceDN w:val="0"/>
      <w:adjustRightInd w:val="0"/>
      <w:spacing w:before="360" w:after="0" w:line="480" w:lineRule="exact"/>
      <w:ind w:left="420" w:hanging="420"/>
      <w:jc w:val="left"/>
    </w:pPr>
    <w:rPr>
      <w:rFonts w:ascii="黑体" w:hAnsi="Times New Roman"/>
      <w:bCs w:val="0"/>
      <w:kern w:val="0"/>
      <w:sz w:val="24"/>
      <w:szCs w:val="20"/>
    </w:rPr>
  </w:style>
  <w:style w:type="paragraph" w:customStyle="1" w:styleId="243">
    <w:name w:val="页眉 New"/>
    <w:basedOn w:val="1"/>
    <w:qFormat/>
    <w:uiPriority w:val="0"/>
    <w:pPr>
      <w:pBdr>
        <w:bottom w:val="single" w:color="auto" w:sz="6" w:space="1"/>
      </w:pBdr>
      <w:tabs>
        <w:tab w:val="center" w:pos="4153"/>
        <w:tab w:val="right" w:pos="8306"/>
      </w:tabs>
      <w:snapToGrid w:val="0"/>
      <w:jc w:val="center"/>
    </w:pPr>
    <w:rPr>
      <w:sz w:val="18"/>
    </w:rPr>
  </w:style>
  <w:style w:type="paragraph" w:customStyle="1" w:styleId="244">
    <w:name w:val="Char Char"/>
    <w:basedOn w:val="1"/>
    <w:qFormat/>
    <w:uiPriority w:val="0"/>
    <w:pPr>
      <w:widowControl/>
      <w:spacing w:after="160" w:line="240" w:lineRule="exact"/>
      <w:jc w:val="left"/>
    </w:pPr>
    <w:rPr>
      <w:sz w:val="24"/>
    </w:rPr>
  </w:style>
  <w:style w:type="paragraph" w:customStyle="1" w:styleId="245">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bCs w:val="0"/>
      <w:kern w:val="0"/>
      <w:sz w:val="36"/>
      <w:szCs w:val="20"/>
    </w:rPr>
  </w:style>
  <w:style w:type="paragraph" w:customStyle="1" w:styleId="24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47">
    <w:name w:val="说明书正文"/>
    <w:basedOn w:val="1"/>
    <w:qFormat/>
    <w:uiPriority w:val="0"/>
    <w:pPr>
      <w:ind w:firstLine="200" w:firstLineChars="200"/>
    </w:pPr>
    <w:rPr>
      <w:sz w:val="24"/>
    </w:rPr>
  </w:style>
  <w:style w:type="paragraph" w:customStyle="1" w:styleId="248">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1">
    <w:name w:val="Char Char2"/>
    <w:basedOn w:val="1"/>
    <w:qFormat/>
    <w:uiPriority w:val="0"/>
    <w:rPr>
      <w:rFonts w:ascii="宋体" w:hAnsi="宋体"/>
      <w:b/>
      <w:sz w:val="28"/>
      <w:szCs w:val="28"/>
    </w:rPr>
  </w:style>
  <w:style w:type="paragraph" w:customStyle="1" w:styleId="25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3">
    <w:name w:val="Char Char Char Char Char Char Char Char Char Char Char Char Char"/>
    <w:basedOn w:val="1"/>
    <w:qFormat/>
    <w:uiPriority w:val="0"/>
    <w:pPr>
      <w:widowControl/>
      <w:spacing w:after="160" w:line="240" w:lineRule="exact"/>
      <w:jc w:val="left"/>
    </w:pPr>
    <w:rPr>
      <w:kern w:val="0"/>
      <w:szCs w:val="20"/>
    </w:rPr>
  </w:style>
  <w:style w:type="paragraph" w:customStyle="1" w:styleId="254">
    <w:name w:val="Char Char Char Char Char Char Char Char Char Char"/>
    <w:basedOn w:val="1"/>
    <w:qFormat/>
    <w:uiPriority w:val="0"/>
    <w:rPr>
      <w:rFonts w:ascii="Tahoma" w:hAnsi="Tahoma"/>
      <w:sz w:val="24"/>
      <w:szCs w:val="20"/>
    </w:rPr>
  </w:style>
  <w:style w:type="paragraph" w:customStyle="1" w:styleId="255">
    <w:name w:val="Char2 Char Char Char1 Char Char Char Char Char Char Char Char Char Char Char Char Char Char1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56">
    <w:name w:val="font9"/>
    <w:basedOn w:val="1"/>
    <w:qFormat/>
    <w:uiPriority w:val="0"/>
    <w:pPr>
      <w:widowControl/>
      <w:spacing w:before="100" w:beforeAutospacing="1" w:after="100" w:afterAutospacing="1"/>
      <w:jc w:val="left"/>
    </w:pPr>
    <w:rPr>
      <w:b/>
      <w:bCs/>
      <w:kern w:val="0"/>
      <w:sz w:val="24"/>
    </w:rPr>
  </w:style>
  <w:style w:type="paragraph" w:customStyle="1" w:styleId="257">
    <w:name w:val="标准正文"/>
    <w:basedOn w:val="23"/>
    <w:qFormat/>
    <w:uiPriority w:val="0"/>
    <w:pPr>
      <w:widowControl/>
      <w:spacing w:after="160" w:line="240" w:lineRule="exact"/>
      <w:ind w:firstLine="0" w:firstLineChars="0"/>
      <w:jc w:val="left"/>
    </w:pPr>
    <w:rPr>
      <w:rFonts w:ascii="Verdana" w:hAnsi="Verdana"/>
      <w:kern w:val="0"/>
      <w:sz w:val="24"/>
      <w:lang w:eastAsia="en-US"/>
    </w:rPr>
  </w:style>
  <w:style w:type="paragraph" w:customStyle="1" w:styleId="2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Char1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1">
    <w:name w:val="题注4"/>
    <w:basedOn w:val="1"/>
    <w:next w:val="14"/>
    <w:qFormat/>
    <w:uiPriority w:val="0"/>
    <w:pPr>
      <w:ind w:left="-132" w:leftChars="-64" w:right="-105" w:rightChars="-50" w:hanging="2"/>
      <w:jc w:val="center"/>
    </w:pPr>
    <w:rPr>
      <w:b/>
      <w:color w:val="FF0000"/>
      <w:szCs w:val="21"/>
      <w:lang w:val="en-GB"/>
    </w:rPr>
  </w:style>
  <w:style w:type="paragraph" w:customStyle="1" w:styleId="262">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3">
    <w:name w:val="样式3"/>
    <w:basedOn w:val="1"/>
    <w:qFormat/>
    <w:uiPriority w:val="0"/>
  </w:style>
  <w:style w:type="paragraph" w:customStyle="1" w:styleId="264">
    <w:name w:val="Char2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65">
    <w:name w:val="默认段落字体 Para Char"/>
    <w:basedOn w:val="1"/>
    <w:qFormat/>
    <w:uiPriority w:val="0"/>
    <w:rPr>
      <w:rFonts w:ascii="宋体" w:hAnsi="宋体"/>
      <w:b/>
      <w:sz w:val="28"/>
      <w:szCs w:val="28"/>
    </w:rPr>
  </w:style>
  <w:style w:type="paragraph" w:customStyle="1" w:styleId="266">
    <w:name w:val="正文标号1"/>
    <w:basedOn w:val="1"/>
    <w:qFormat/>
    <w:uiPriority w:val="0"/>
    <w:pPr>
      <w:tabs>
        <w:tab w:val="left" w:pos="720"/>
      </w:tabs>
      <w:spacing w:line="360" w:lineRule="auto"/>
      <w:ind w:hanging="240"/>
    </w:pPr>
    <w:rPr>
      <w:rFonts w:ascii="宋体"/>
      <w:sz w:val="24"/>
    </w:rPr>
  </w:style>
  <w:style w:type="paragraph" w:customStyle="1" w:styleId="267">
    <w:name w:val="标题1"/>
    <w:basedOn w:val="1"/>
    <w:qFormat/>
    <w:uiPriority w:val="0"/>
    <w:pPr>
      <w:tabs>
        <w:tab w:val="left" w:pos="2925"/>
      </w:tabs>
      <w:spacing w:line="288" w:lineRule="auto"/>
    </w:pPr>
    <w:rPr>
      <w:sz w:val="24"/>
      <w:szCs w:val="20"/>
    </w:rPr>
  </w:style>
  <w:style w:type="paragraph" w:customStyle="1" w:styleId="268">
    <w:name w:val="Char Char Char1"/>
    <w:basedOn w:val="1"/>
    <w:qFormat/>
    <w:uiPriority w:val="0"/>
    <w:pPr>
      <w:widowControl/>
      <w:spacing w:line="400" w:lineRule="exact"/>
      <w:jc w:val="center"/>
    </w:pPr>
    <w:rPr>
      <w:rFonts w:ascii="Verdana" w:hAnsi="Verdana"/>
      <w:kern w:val="0"/>
      <w:szCs w:val="20"/>
      <w:lang w:eastAsia="en-US"/>
    </w:rPr>
  </w:style>
  <w:style w:type="paragraph" w:customStyle="1" w:styleId="26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0">
    <w:name w:val="font8"/>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27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2">
    <w:name w:val="样式 样式 标题 1 + 华文细黑 小二 居中 左侧:  0 厘米 首行缩进:  0 厘米 行距: 1.5 倍行距 + 左侧: ..."/>
    <w:basedOn w:val="1"/>
    <w:qFormat/>
    <w:uiPriority w:val="0"/>
    <w:pPr>
      <w:keepNext/>
      <w:keepLines/>
      <w:spacing w:before="340" w:after="330" w:line="360" w:lineRule="auto"/>
      <w:jc w:val="center"/>
      <w:outlineLvl w:val="0"/>
    </w:pPr>
    <w:rPr>
      <w:rFonts w:ascii="华文细黑" w:hAnsi="华文细黑" w:eastAsia="华文细黑" w:cs="宋体"/>
      <w:b/>
      <w:bCs/>
      <w:kern w:val="32"/>
      <w:sz w:val="44"/>
      <w:szCs w:val="20"/>
    </w:rPr>
  </w:style>
  <w:style w:type="paragraph" w:customStyle="1" w:styleId="273">
    <w:name w:val="正文1"/>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74">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77">
    <w:name w:val="样式2"/>
    <w:basedOn w:val="1"/>
    <w:qFormat/>
    <w:uiPriority w:val="0"/>
    <w:pPr>
      <w:spacing w:line="360" w:lineRule="auto"/>
    </w:pPr>
    <w:rPr>
      <w:rFonts w:ascii="宋体" w:hAnsi="宋体"/>
      <w:sz w:val="24"/>
      <w:szCs w:val="20"/>
    </w:rPr>
  </w:style>
  <w:style w:type="paragraph" w:customStyle="1" w:styleId="278">
    <w:name w:val="题注5"/>
    <w:basedOn w:val="1"/>
    <w:next w:val="14"/>
    <w:qFormat/>
    <w:uiPriority w:val="0"/>
    <w:pPr>
      <w:jc w:val="center"/>
    </w:pPr>
    <w:rPr>
      <w:b/>
      <w:color w:val="000000"/>
      <w:sz w:val="24"/>
      <w:szCs w:val="21"/>
    </w:rPr>
  </w:style>
  <w:style w:type="paragraph" w:customStyle="1" w:styleId="2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8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1">
    <w:name w:val="新华社正文"/>
    <w:basedOn w:val="1"/>
    <w:qFormat/>
    <w:uiPriority w:val="0"/>
    <w:pPr>
      <w:spacing w:line="360" w:lineRule="auto"/>
      <w:ind w:firstLine="420" w:firstLineChars="200"/>
    </w:pPr>
    <w:rPr>
      <w:rFonts w:ascii="宋体" w:hAnsi="宋体"/>
      <w:szCs w:val="20"/>
    </w:rPr>
  </w:style>
  <w:style w:type="paragraph" w:customStyle="1" w:styleId="282">
    <w:name w:val="Char2 Char Char Char1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4">
    <w:name w:val="Char Char Char Char Char Char Char1"/>
    <w:basedOn w:val="1"/>
    <w:qFormat/>
    <w:uiPriority w:val="0"/>
    <w:pPr>
      <w:tabs>
        <w:tab w:val="left" w:pos="425"/>
      </w:tabs>
      <w:ind w:left="425" w:hanging="425"/>
    </w:pPr>
    <w:rPr>
      <w:rFonts w:eastAsia="仿宋_GB2312"/>
      <w:kern w:val="24"/>
      <w:sz w:val="24"/>
    </w:rPr>
  </w:style>
  <w:style w:type="paragraph" w:customStyle="1" w:styleId="285">
    <w:name w:val="Char Char2 Char2"/>
    <w:basedOn w:val="1"/>
    <w:qFormat/>
    <w:uiPriority w:val="0"/>
    <w:rPr>
      <w:rFonts w:ascii="宋体" w:hAnsi="宋体"/>
      <w:b/>
      <w:sz w:val="28"/>
      <w:szCs w:val="28"/>
    </w:rPr>
  </w:style>
  <w:style w:type="paragraph" w:customStyle="1" w:styleId="286">
    <w:name w:val="页脚 New"/>
    <w:basedOn w:val="1"/>
    <w:qFormat/>
    <w:uiPriority w:val="0"/>
    <w:pPr>
      <w:tabs>
        <w:tab w:val="center" w:pos="4153"/>
        <w:tab w:val="right" w:pos="8306"/>
      </w:tabs>
      <w:snapToGrid w:val="0"/>
      <w:jc w:val="left"/>
    </w:pPr>
    <w:rPr>
      <w:sz w:val="18"/>
    </w:rPr>
  </w:style>
  <w:style w:type="paragraph" w:customStyle="1" w:styleId="28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88">
    <w:name w:val="font7"/>
    <w:basedOn w:val="1"/>
    <w:qFormat/>
    <w:uiPriority w:val="0"/>
    <w:pPr>
      <w:widowControl/>
      <w:spacing w:before="100" w:beforeAutospacing="1" w:after="100" w:afterAutospacing="1"/>
      <w:jc w:val="left"/>
    </w:pPr>
    <w:rPr>
      <w:kern w:val="0"/>
      <w:sz w:val="24"/>
    </w:rPr>
  </w:style>
  <w:style w:type="paragraph" w:customStyle="1" w:styleId="289">
    <w:name w:val="样式 标题 3h3H33l3CTLevel 3 Headlevel_3PIM 3sect1.2.3标题 3 ...1"/>
    <w:basedOn w:val="5"/>
    <w:qFormat/>
    <w:uiPriority w:val="0"/>
    <w:pPr>
      <w:spacing w:before="0" w:after="0" w:line="240" w:lineRule="auto"/>
      <w:ind w:left="420" w:leftChars="200"/>
    </w:pPr>
    <w:rPr>
      <w:rFonts w:cs="宋体"/>
      <w:sz w:val="30"/>
      <w:szCs w:val="20"/>
    </w:rPr>
  </w:style>
  <w:style w:type="paragraph" w:customStyle="1" w:styleId="290">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291">
    <w:name w:val="h 1.1(1)英語"/>
    <w:basedOn w:val="1"/>
    <w:qFormat/>
    <w:uiPriority w:val="0"/>
    <w:pPr>
      <w:tabs>
        <w:tab w:val="right" w:pos="839"/>
        <w:tab w:val="left" w:pos="1021"/>
      </w:tabs>
      <w:adjustRightInd w:val="0"/>
      <w:spacing w:after="160" w:line="326" w:lineRule="atLeast"/>
      <w:ind w:left="1021" w:hanging="1021"/>
    </w:pPr>
    <w:rPr>
      <w:rFonts w:eastAsia="MS Mincho"/>
      <w:kern w:val="0"/>
      <w:sz w:val="22"/>
      <w:szCs w:val="20"/>
      <w:lang w:eastAsia="ja-JP"/>
    </w:rPr>
  </w:style>
  <w:style w:type="paragraph" w:customStyle="1" w:styleId="292">
    <w:name w:val="样式1"/>
    <w:basedOn w:val="6"/>
    <w:qFormat/>
    <w:uiPriority w:val="0"/>
    <w:pPr>
      <w:spacing w:line="376" w:lineRule="auto"/>
    </w:pPr>
  </w:style>
  <w:style w:type="paragraph" w:customStyle="1" w:styleId="293">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4"/>
    </w:rPr>
  </w:style>
  <w:style w:type="paragraph" w:customStyle="1" w:styleId="294">
    <w:name w:val="Char1 Char Char Char Char Char Char Char Char Char Char Char Char Char Char Char1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5">
    <w:name w:val="0方案正文"/>
    <w:basedOn w:val="1"/>
    <w:qFormat/>
    <w:uiPriority w:val="0"/>
    <w:pPr>
      <w:ind w:firstLine="640" w:firstLineChars="200"/>
    </w:pPr>
    <w:rPr>
      <w:rFonts w:ascii="仿宋_GB2312" w:eastAsia="仿宋_GB2312"/>
      <w:sz w:val="32"/>
      <w:szCs w:val="32"/>
    </w:rPr>
  </w:style>
  <w:style w:type="paragraph" w:customStyle="1" w:styleId="296">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97">
    <w:name w:val="Pa3"/>
    <w:basedOn w:val="1"/>
    <w:next w:val="1"/>
    <w:qFormat/>
    <w:uiPriority w:val="99"/>
    <w:pPr>
      <w:autoSpaceDE w:val="0"/>
      <w:autoSpaceDN w:val="0"/>
      <w:adjustRightInd w:val="0"/>
      <w:spacing w:line="241" w:lineRule="atLeast"/>
      <w:jc w:val="left"/>
    </w:pPr>
    <w:rPr>
      <w:rFonts w:ascii="华文细黑" w:hAnsi="Calibri" w:eastAsia="华文细黑"/>
      <w:kern w:val="0"/>
      <w:sz w:val="24"/>
    </w:rPr>
  </w:style>
  <w:style w:type="paragraph" w:customStyle="1" w:styleId="298">
    <w:name w:val="Char2 Char Char Char1 Char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99">
    <w:name w:val="P标3"/>
    <w:basedOn w:val="5"/>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bCs w:val="0"/>
      <w:kern w:val="0"/>
      <w:sz w:val="24"/>
      <w:szCs w:val="20"/>
    </w:rPr>
  </w:style>
  <w:style w:type="paragraph" w:customStyle="1" w:styleId="300">
    <w:name w:val="xl79"/>
    <w:basedOn w:val="1"/>
    <w:qFormat/>
    <w:uiPriority w:val="0"/>
    <w:pPr>
      <w:widowControl/>
      <w:spacing w:before="100" w:beforeAutospacing="1" w:after="100" w:afterAutospacing="1"/>
      <w:jc w:val="left"/>
    </w:pPr>
    <w:rPr>
      <w:rFonts w:ascii="宋体" w:hAnsi="宋体" w:cs="宋体"/>
      <w:kern w:val="0"/>
      <w:sz w:val="24"/>
    </w:rPr>
  </w:style>
  <w:style w:type="paragraph" w:customStyle="1" w:styleId="301">
    <w:name w:val="Char Char3"/>
    <w:basedOn w:val="1"/>
    <w:qFormat/>
    <w:uiPriority w:val="0"/>
    <w:rPr>
      <w:rFonts w:ascii="宋体" w:hAnsi="宋体"/>
      <w:b/>
      <w:sz w:val="28"/>
      <w:szCs w:val="28"/>
    </w:rPr>
  </w:style>
  <w:style w:type="paragraph" w:customStyle="1" w:styleId="302">
    <w:name w:val="列出段落1"/>
    <w:basedOn w:val="1"/>
    <w:qFormat/>
    <w:uiPriority w:val="0"/>
    <w:pPr>
      <w:ind w:firstLine="420" w:firstLineChars="200"/>
    </w:pPr>
    <w:rPr>
      <w:rFonts w:ascii="仿宋_GB2312" w:eastAsia="仿宋_GB2312" w:cs="仿宋_GB2312"/>
      <w:spacing w:val="6"/>
      <w:sz w:val="30"/>
      <w:szCs w:val="30"/>
    </w:rPr>
  </w:style>
  <w:style w:type="paragraph" w:customStyle="1" w:styleId="30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05">
    <w:name w:val="Char Char Char"/>
    <w:basedOn w:val="1"/>
    <w:qFormat/>
    <w:uiPriority w:val="0"/>
    <w:pPr>
      <w:widowControl/>
      <w:spacing w:line="400" w:lineRule="exact"/>
      <w:jc w:val="center"/>
    </w:pPr>
    <w:rPr>
      <w:rFonts w:ascii="Verdana" w:hAnsi="Verdana"/>
      <w:kern w:val="0"/>
      <w:szCs w:val="20"/>
      <w:lang w:eastAsia="en-US"/>
    </w:rPr>
  </w:style>
  <w:style w:type="paragraph" w:customStyle="1" w:styleId="30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宋体"/>
      <w:kern w:val="0"/>
      <w:sz w:val="24"/>
    </w:rPr>
  </w:style>
  <w:style w:type="paragraph" w:customStyle="1" w:styleId="307">
    <w:name w:val="Char Char Char Char Char Char Char Char Char Char1"/>
    <w:basedOn w:val="1"/>
    <w:qFormat/>
    <w:uiPriority w:val="0"/>
    <w:rPr>
      <w:rFonts w:ascii="Tahoma" w:hAnsi="Tahoma"/>
      <w:sz w:val="24"/>
      <w:szCs w:val="20"/>
    </w:rPr>
  </w:style>
  <w:style w:type="paragraph" w:customStyle="1" w:styleId="30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309">
    <w:name w:val="文档正文"/>
    <w:basedOn w:val="1"/>
    <w:qFormat/>
    <w:uiPriority w:val="0"/>
    <w:rPr>
      <w:rFonts w:ascii="Arial" w:hAnsi="Arial"/>
      <w:sz w:val="24"/>
      <w:szCs w:val="20"/>
    </w:rPr>
  </w:style>
  <w:style w:type="paragraph" w:customStyle="1" w:styleId="310">
    <w:name w:val="Char1 Char Char Char Char Char Char Char Char Char Char Char Char Char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1">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rPr>
  </w:style>
  <w:style w:type="paragraph" w:customStyle="1" w:styleId="312">
    <w:name w:val="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4">
    <w:name w:val="表头"/>
    <w:basedOn w:val="14"/>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315">
    <w:name w:val="列出段落21"/>
    <w:basedOn w:val="1"/>
    <w:qFormat/>
    <w:uiPriority w:val="0"/>
    <w:pPr>
      <w:ind w:firstLine="420" w:firstLineChars="200"/>
    </w:pPr>
    <w:rPr>
      <w:rFonts w:ascii="Calibri" w:hAnsi="Calibri"/>
      <w:szCs w:val="22"/>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7">
    <w:name w:val="元正正文标题2"/>
    <w:basedOn w:val="6"/>
    <w:qFormat/>
    <w:uiPriority w:val="0"/>
    <w:pPr>
      <w:keepNext w:val="0"/>
      <w:keepLines w:val="0"/>
      <w:adjustRightInd w:val="0"/>
      <w:snapToGrid w:val="0"/>
      <w:spacing w:before="0" w:after="0" w:line="300" w:lineRule="auto"/>
      <w:jc w:val="center"/>
      <w:outlineLvl w:val="9"/>
    </w:pPr>
    <w:rPr>
      <w:rFonts w:ascii="宋体" w:hAnsi="宋体" w:eastAsia="宋体" w:cs="宋体"/>
      <w:sz w:val="30"/>
      <w:szCs w:val="30"/>
    </w:rPr>
  </w:style>
  <w:style w:type="paragraph" w:customStyle="1" w:styleId="318">
    <w:name w:val="标题 11"/>
    <w:basedOn w:val="1"/>
    <w:next w:val="1"/>
    <w:qFormat/>
    <w:uiPriority w:val="0"/>
    <w:pPr>
      <w:outlineLvl w:val="0"/>
    </w:pPr>
    <w:rPr>
      <w:rFonts w:hint="eastAsia" w:ascii="楷体_GB2312" w:hAnsi="宋体" w:eastAsia="楷体_GB2312"/>
      <w:b/>
      <w:sz w:val="30"/>
      <w:szCs w:val="20"/>
    </w:rPr>
  </w:style>
  <w:style w:type="paragraph" w:customStyle="1" w:styleId="3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0">
    <w:name w:val="_Style 317"/>
    <w:basedOn w:val="2"/>
    <w:next w:val="1"/>
    <w:qFormat/>
    <w:uiPriority w:val="39"/>
    <w:pPr>
      <w:widowControl/>
      <w:spacing w:before="480" w:after="0" w:line="276" w:lineRule="auto"/>
      <w:jc w:val="left"/>
      <w:outlineLvl w:val="9"/>
    </w:pPr>
    <w:rPr>
      <w:rFonts w:ascii="Cambria" w:hAnsi="Cambria"/>
      <w:b w:val="0"/>
      <w:bCs w:val="0"/>
      <w:color w:val="365F91"/>
      <w:kern w:val="0"/>
      <w:sz w:val="28"/>
      <w:szCs w:val="28"/>
    </w:rPr>
  </w:style>
  <w:style w:type="paragraph" w:customStyle="1" w:styleId="321">
    <w:name w:val="Char2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2">
    <w:name w:val="Char1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24">
    <w:name w:val="Char1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32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26">
    <w:name w:val="标题-韦"/>
    <w:basedOn w:val="2"/>
    <w:qFormat/>
    <w:uiPriority w:val="0"/>
    <w:rPr>
      <w:sz w:val="28"/>
      <w:szCs w:val="28"/>
    </w:rPr>
  </w:style>
  <w:style w:type="paragraph" w:customStyle="1" w:styleId="327">
    <w:name w:val="标题 1（绿盟科技）"/>
    <w:basedOn w:val="2"/>
    <w:qFormat/>
    <w:uiPriority w:val="0"/>
    <w:pPr>
      <w:pBdr>
        <w:bottom w:val="single" w:color="auto" w:sz="48" w:space="1"/>
      </w:pBdr>
      <w:tabs>
        <w:tab w:val="left" w:pos="720"/>
      </w:tabs>
      <w:spacing w:before="600"/>
      <w:jc w:val="left"/>
    </w:pPr>
    <w:rPr>
      <w:rFonts w:ascii="Arial" w:hAnsi="Arial" w:eastAsia="黑体"/>
    </w:rPr>
  </w:style>
  <w:style w:type="paragraph" w:customStyle="1" w:styleId="328">
    <w:name w:val="PMTB1"/>
    <w:basedOn w:val="1"/>
    <w:semiHidden/>
    <w:qFormat/>
    <w:uiPriority w:val="0"/>
    <w:pPr>
      <w:widowControl/>
      <w:tabs>
        <w:tab w:val="left" w:pos="1080"/>
        <w:tab w:val="left" w:pos="1130"/>
      </w:tabs>
      <w:spacing w:after="60"/>
      <w:ind w:left="1130" w:hanging="420"/>
      <w:jc w:val="left"/>
    </w:pPr>
    <w:rPr>
      <w:kern w:val="0"/>
      <w:sz w:val="22"/>
      <w:szCs w:val="20"/>
      <w:lang w:eastAsia="en-US"/>
    </w:rPr>
  </w:style>
  <w:style w:type="paragraph" w:customStyle="1" w:styleId="329">
    <w:name w:val="HTML 预设格式 New"/>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3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1">
    <w:name w:val="4"/>
    <w:next w:val="1"/>
    <w:qFormat/>
    <w:uiPriority w:val="0"/>
    <w:rPr>
      <w:rFonts w:ascii="Times New Roman" w:hAnsi="Times New Roman" w:eastAsia="宋体" w:cs="Times New Roman"/>
      <w:sz w:val="21"/>
      <w:lang w:val="en-US" w:eastAsia="zh-CN" w:bidi="ar-SA"/>
    </w:rPr>
  </w:style>
  <w:style w:type="paragraph" w:customStyle="1" w:styleId="332">
    <w:name w:val="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3">
    <w:name w:val="xl33"/>
    <w:basedOn w:val="1"/>
    <w:qFormat/>
    <w:uiPriority w:val="0"/>
    <w:pPr>
      <w:widowControl/>
      <w:spacing w:before="100" w:beforeAutospacing="1" w:after="100" w:afterAutospacing="1"/>
      <w:jc w:val="left"/>
      <w:textAlignment w:val="center"/>
    </w:pPr>
    <w:rPr>
      <w:kern w:val="0"/>
      <w:sz w:val="24"/>
    </w:rPr>
  </w:style>
  <w:style w:type="paragraph" w:customStyle="1" w:styleId="334">
    <w:name w:val="正文文本 21"/>
    <w:basedOn w:val="1"/>
    <w:qFormat/>
    <w:uiPriority w:val="0"/>
    <w:pPr>
      <w:adjustRightInd w:val="0"/>
      <w:spacing w:after="120" w:line="360" w:lineRule="auto"/>
      <w:ind w:firstLine="630"/>
      <w:jc w:val="left"/>
      <w:textAlignment w:val="baseline"/>
    </w:pPr>
    <w:rPr>
      <w:sz w:val="28"/>
      <w:szCs w:val="20"/>
    </w:rPr>
  </w:style>
  <w:style w:type="paragraph" w:customStyle="1" w:styleId="335">
    <w:name w:val="正文文字 Char"/>
    <w:basedOn w:val="1"/>
    <w:qFormat/>
    <w:uiPriority w:val="0"/>
    <w:pPr>
      <w:spacing w:line="360" w:lineRule="auto"/>
      <w:ind w:firstLine="200" w:firstLineChars="200"/>
      <w:jc w:val="left"/>
    </w:pPr>
    <w:rPr>
      <w:sz w:val="24"/>
    </w:rPr>
  </w:style>
  <w:style w:type="paragraph" w:customStyle="1" w:styleId="336">
    <w:name w:val="Char1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38">
    <w:name w:val="_Style 1"/>
    <w:basedOn w:val="1"/>
    <w:qFormat/>
    <w:uiPriority w:val="34"/>
    <w:pPr>
      <w:ind w:firstLine="420" w:firstLineChars="200"/>
    </w:pPr>
    <w:rPr>
      <w:kern w:val="0"/>
      <w:sz w:val="28"/>
      <w:szCs w:val="20"/>
    </w:rPr>
  </w:style>
  <w:style w:type="paragraph" w:customStyle="1" w:styleId="339">
    <w:name w:val="xl85"/>
    <w:basedOn w:val="1"/>
    <w:qFormat/>
    <w:uiPriority w:val="0"/>
    <w:pPr>
      <w:widowControl/>
      <w:spacing w:before="100" w:beforeAutospacing="1" w:after="100" w:afterAutospacing="1"/>
      <w:jc w:val="left"/>
    </w:pPr>
    <w:rPr>
      <w:rFonts w:ascii="宋体" w:hAnsi="宋体" w:cs="宋体"/>
      <w:kern w:val="0"/>
      <w:sz w:val="24"/>
    </w:rPr>
  </w:style>
  <w:style w:type="paragraph" w:customStyle="1" w:styleId="340">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b/>
      <w:bCs/>
      <w:kern w:val="0"/>
      <w:sz w:val="24"/>
    </w:rPr>
  </w:style>
  <w:style w:type="paragraph" w:customStyle="1" w:styleId="341">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2">
    <w:name w:val="正文标号3 Char"/>
    <w:basedOn w:val="1"/>
    <w:qFormat/>
    <w:uiPriority w:val="0"/>
    <w:rPr>
      <w:b/>
      <w:bCs/>
      <w:sz w:val="24"/>
    </w:rPr>
  </w:style>
  <w:style w:type="paragraph" w:customStyle="1" w:styleId="343">
    <w:name w:val="p0"/>
    <w:basedOn w:val="1"/>
    <w:qFormat/>
    <w:uiPriority w:val="0"/>
    <w:pPr>
      <w:widowControl/>
      <w:jc w:val="left"/>
    </w:pPr>
    <w:rPr>
      <w:kern w:val="0"/>
      <w:szCs w:val="21"/>
    </w:rPr>
  </w:style>
  <w:style w:type="paragraph" w:customStyle="1" w:styleId="344">
    <w:name w:val="Char Char Char Char Char Char Char"/>
    <w:basedOn w:val="1"/>
    <w:qFormat/>
    <w:uiPriority w:val="0"/>
    <w:pPr>
      <w:tabs>
        <w:tab w:val="left" w:pos="425"/>
      </w:tabs>
      <w:ind w:left="425" w:hanging="425"/>
    </w:pPr>
    <w:rPr>
      <w:rFonts w:eastAsia="仿宋_GB2312"/>
      <w:kern w:val="24"/>
      <w:sz w:val="24"/>
    </w:rPr>
  </w:style>
  <w:style w:type="paragraph" w:customStyle="1" w:styleId="345">
    <w:name w:val="纯文本1"/>
    <w:basedOn w:val="1"/>
    <w:qFormat/>
    <w:uiPriority w:val="0"/>
    <w:rPr>
      <w:rFonts w:hint="eastAsia" w:ascii="宋体" w:hAnsi="Courier New"/>
      <w:szCs w:val="20"/>
    </w:rPr>
  </w:style>
  <w:style w:type="paragraph" w:customStyle="1" w:styleId="346">
    <w:name w:val="Char Char2 Char1"/>
    <w:basedOn w:val="1"/>
    <w:qFormat/>
    <w:uiPriority w:val="0"/>
    <w:rPr>
      <w:rFonts w:ascii="宋体" w:hAnsi="宋体"/>
      <w:b/>
      <w:sz w:val="28"/>
      <w:szCs w:val="28"/>
    </w:rPr>
  </w:style>
  <w:style w:type="paragraph" w:customStyle="1" w:styleId="34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8">
    <w:name w:val="xl32"/>
    <w:basedOn w:val="1"/>
    <w:qFormat/>
    <w:uiPriority w:val="0"/>
    <w:pPr>
      <w:widowControl/>
      <w:spacing w:before="100" w:beforeAutospacing="1" w:after="100" w:afterAutospacing="1"/>
      <w:jc w:val="left"/>
      <w:textAlignment w:val="center"/>
    </w:pPr>
    <w:rPr>
      <w:rFonts w:ascii="宋体" w:hAnsi="宋体"/>
      <w:kern w:val="0"/>
      <w:sz w:val="24"/>
    </w:rPr>
  </w:style>
  <w:style w:type="table" w:customStyle="1" w:styleId="349">
    <w:name w:val="网格型2"/>
    <w:basedOn w:val="49"/>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1"/>
    <w:basedOn w:val="4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1">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352">
    <w:name w:val="网格型3"/>
    <w:basedOn w:val="4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3">
    <w:name w:val="列出段落11"/>
    <w:basedOn w:val="1"/>
    <w:qFormat/>
    <w:uiPriority w:val="99"/>
    <w:pPr>
      <w:ind w:firstLine="420" w:firstLineChars="200"/>
    </w:pPr>
  </w:style>
  <w:style w:type="paragraph" w:customStyle="1" w:styleId="354">
    <w:name w:val="无间隔1"/>
    <w:qFormat/>
    <w:uiPriority w:val="99"/>
    <w:pPr>
      <w:widowControl w:val="0"/>
      <w:jc w:val="both"/>
    </w:pPr>
    <w:rPr>
      <w:rFonts w:ascii="Calibri" w:hAnsi="Calibri" w:eastAsia="宋体" w:cs="Times New Roman"/>
      <w:sz w:val="22"/>
      <w:szCs w:val="22"/>
      <w:lang w:val="en-US" w:eastAsia="zh-CN" w:bidi="ar-SA"/>
    </w:rPr>
  </w:style>
  <w:style w:type="character" w:customStyle="1" w:styleId="355">
    <w:name w:val="纯文本 Char"/>
    <w:qFormat/>
    <w:uiPriority w:val="0"/>
    <w:rPr>
      <w:rFonts w:ascii="宋体" w:hAnsi="Courier New" w:eastAsia="宋体" w:cs="Courier New"/>
      <w:kern w:val="2"/>
      <w:sz w:val="21"/>
      <w:szCs w:val="21"/>
      <w:lang w:val="en-US" w:eastAsia="zh-CN" w:bidi="ar-SA"/>
    </w:rPr>
  </w:style>
  <w:style w:type="character" w:customStyle="1" w:styleId="356">
    <w:name w:val="纯文本 字符2"/>
    <w:qFormat/>
    <w:uiPriority w:val="0"/>
    <w:rPr>
      <w:rFonts w:ascii="宋体" w:hAnsi="Courier New" w:eastAsia="宋体" w:cs="Courier New"/>
      <w:kern w:val="2"/>
      <w:sz w:val="21"/>
      <w:szCs w:val="21"/>
      <w:lang w:val="en-US" w:eastAsia="zh-CN" w:bidi="ar-SA"/>
    </w:rPr>
  </w:style>
  <w:style w:type="table" w:customStyle="1" w:styleId="357">
    <w:name w:val="网格型4"/>
    <w:basedOn w:val="4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59">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36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361">
    <w:name w:val="未处理的提及1"/>
    <w:unhideWhenUsed/>
    <w:qFormat/>
    <w:uiPriority w:val="99"/>
    <w:rPr>
      <w:color w:val="605E5C"/>
      <w:shd w:val="clear" w:color="auto" w:fill="E1DFDD"/>
    </w:rPr>
  </w:style>
  <w:style w:type="character" w:customStyle="1" w:styleId="362">
    <w:name w:val="批注文字 字符2"/>
    <w:qFormat/>
    <w:uiPriority w:val="0"/>
    <w:rPr>
      <w:kern w:val="2"/>
      <w:sz w:val="21"/>
      <w:szCs w:val="24"/>
      <w:lang w:val="zh-CN"/>
    </w:rPr>
  </w:style>
  <w:style w:type="paragraph" w:customStyle="1" w:styleId="363">
    <w:name w:val="_Style 34"/>
    <w:basedOn w:val="1"/>
    <w:next w:val="190"/>
    <w:qFormat/>
    <w:uiPriority w:val="34"/>
    <w:pPr>
      <w:adjustRightInd w:val="0"/>
      <w:spacing w:line="360" w:lineRule="atLeast"/>
      <w:ind w:firstLine="420" w:firstLineChars="200"/>
      <w:textAlignment w:val="baseline"/>
    </w:pPr>
    <w:rPr>
      <w:kern w:val="0"/>
      <w:sz w:val="20"/>
    </w:rPr>
  </w:style>
  <w:style w:type="paragraph" w:styleId="364">
    <w:name w:val="List Paragraph"/>
    <w:basedOn w:val="1"/>
    <w:link w:val="365"/>
    <w:qFormat/>
    <w:uiPriority w:val="34"/>
    <w:pPr>
      <w:adjustRightInd w:val="0"/>
      <w:spacing w:line="360" w:lineRule="atLeast"/>
      <w:ind w:firstLine="420" w:firstLineChars="200"/>
      <w:textAlignment w:val="baseline"/>
    </w:pPr>
    <w:rPr>
      <w:kern w:val="0"/>
      <w:sz w:val="20"/>
      <w:lang w:val="zh-CN"/>
    </w:rPr>
  </w:style>
  <w:style w:type="character" w:customStyle="1" w:styleId="365">
    <w:name w:val="列表段落 字符1"/>
    <w:link w:val="364"/>
    <w:qFormat/>
    <w:uiPriority w:val="34"/>
    <w:rPr>
      <w:szCs w:val="24"/>
      <w:lang w:val="zh-CN" w:eastAsia="zh-CN"/>
    </w:rPr>
  </w:style>
  <w:style w:type="paragraph" w:customStyle="1" w:styleId="366">
    <w:name w:val="列表段落11"/>
    <w:basedOn w:val="1"/>
    <w:qFormat/>
    <w:uiPriority w:val="0"/>
    <w:pPr>
      <w:ind w:firstLine="420" w:firstLineChars="200"/>
    </w:pPr>
    <w:rPr>
      <w:rFonts w:ascii="Calibri" w:hAnsi="Calibri" w:cs="黑体"/>
      <w:szCs w:val="22"/>
    </w:rPr>
  </w:style>
  <w:style w:type="paragraph" w:customStyle="1" w:styleId="367">
    <w:name w:val="msolistparagraph"/>
    <w:basedOn w:val="1"/>
    <w:qFormat/>
    <w:uiPriority w:val="0"/>
    <w:pPr>
      <w:ind w:firstLine="420" w:firstLineChars="200"/>
    </w:pPr>
  </w:style>
  <w:style w:type="paragraph" w:customStyle="1" w:styleId="368">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369">
    <w:name w:val="null3"/>
    <w:basedOn w:val="1"/>
    <w:qFormat/>
    <w:uiPriority w:val="0"/>
    <w:pPr>
      <w:widowControl/>
      <w:jc w:val="left"/>
    </w:pPr>
    <w:rPr>
      <w:rFonts w:hint="eastAsia" w:ascii="Calibri" w:hAnsi="Calibri"/>
      <w:kern w:val="0"/>
      <w:sz w:val="24"/>
    </w:rPr>
  </w:style>
  <w:style w:type="character" w:customStyle="1" w:styleId="370">
    <w:name w:val="15"/>
    <w:qFormat/>
    <w:uiPriority w:val="0"/>
    <w:rPr>
      <w:rFonts w:hint="default" w:ascii="Times New Roman" w:hAnsi="Times New Roman" w:cs="Times New Roman"/>
    </w:rPr>
  </w:style>
  <w:style w:type="paragraph" w:customStyle="1" w:styleId="371">
    <w:name w:val="msonormal"/>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mycomputer</Company>
  <Pages>15</Pages>
  <Words>10253</Words>
  <Characters>10656</Characters>
  <Lines>96</Lines>
  <Paragraphs>27</Paragraphs>
  <TotalTime>77</TotalTime>
  <ScaleCrop>false</ScaleCrop>
  <LinksUpToDate>false</LinksUpToDate>
  <CharactersWithSpaces>10680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2026-06-04T00:52:00Z</dcterms:created>
  <dc:creator>whda</dc:creator>
  <dc:description>2013年1月9日起招标二部专用！盗版必究！！</dc:description>
  <cp:lastModifiedBy>黄雪珍</cp:lastModifiedBy>
  <cp:lastPrinted>2025-08-07T09:21:00Z</cp:lastPrinted>
  <dcterms:modified xsi:type="dcterms:W3CDTF">2026-06-30T03:04:03Z</dcterms:modified>
  <dc:title>招标文件-公开招标货物类</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78D2890CC2A33CE46D2F206A99E96AEE_43</vt:lpwstr>
  </property>
  <property fmtid="{D5CDD505-2E9C-101B-9397-08002B2CF9AE}" pid="4" name="KSOTemplateDocerSaveRecord">
    <vt:lpwstr>eyJoZGlkIjoiZmFmYjJkMWM4YTUzZjdmODZiZmFiODM5Mzk5MmY2NzciLCJ1c2VySWQiOiI2MDc5NzkxMTYifQ==</vt:lpwstr>
  </property>
</Properties>
</file>